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643F" w14:textId="6F32C380" w:rsidR="003779DA" w:rsidRPr="0079236C" w:rsidRDefault="003779DA" w:rsidP="0052747C">
      <w:pPr>
        <w:spacing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Table 2.</w:t>
      </w:r>
      <w:r w:rsidR="000D0946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417FDE" w14:textId="0494CDBB" w:rsidR="7B4E0AC4" w:rsidRPr="0079236C" w:rsidRDefault="7B4E0AC4" w:rsidP="0052747C">
      <w:pPr>
        <w:pStyle w:val="ListParagraph"/>
        <w:spacing w:after="20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250"/>
        <w:gridCol w:w="900"/>
        <w:gridCol w:w="1350"/>
        <w:gridCol w:w="1170"/>
        <w:gridCol w:w="1170"/>
        <w:gridCol w:w="1620"/>
        <w:gridCol w:w="810"/>
        <w:gridCol w:w="1170"/>
        <w:gridCol w:w="566"/>
        <w:gridCol w:w="540"/>
        <w:gridCol w:w="2790"/>
        <w:gridCol w:w="1234"/>
      </w:tblGrid>
      <w:tr w:rsidR="000D0946" w:rsidRPr="0079236C" w14:paraId="0E2CCCFF" w14:textId="77777777" w:rsidTr="009B196E">
        <w:trPr>
          <w:trHeight w:val="1149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3CF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Modality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5AB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No of Studies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65F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First author, journal, year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500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3AC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493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Age  (years)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FFF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A4A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Duration of recovery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20FAA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Risk of Bias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3D83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Level of Evidence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EB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Result/ comment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AA87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0"/>
                <w:szCs w:val="20"/>
              </w:rPr>
              <w:t>Confidence in Evidence</w:t>
            </w:r>
          </w:p>
        </w:tc>
      </w:tr>
      <w:tr w:rsidR="000D0946" w:rsidRPr="0079236C" w14:paraId="0864E645" w14:textId="77777777" w:rsidTr="009B196E">
        <w:trPr>
          <w:trHeight w:val="639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7C11339" w14:textId="4E182831" w:rsidR="000D0946" w:rsidRPr="0079236C" w:rsidRDefault="009B196E" w:rsidP="009B196E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Functional MRI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fMRI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50B619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  <w:t xml:space="preserve">18 Total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18 Lvl 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2582" w14:textId="1666D5B8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Borich J Neurotrauma 2015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D5A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30F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10 controls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A67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13-17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8C1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D653" w14:textId="11496512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Subacute </w:t>
            </w:r>
            <w:r w:rsidR="0052747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(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&lt;2 mo</w:t>
            </w:r>
            <w:r w:rsidR="0052747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B4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0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EB8C" w14:textId="1B56BB6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changes remain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67A036D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recovery)</w:t>
            </w:r>
          </w:p>
        </w:tc>
      </w:tr>
      <w:tr w:rsidR="000D0946" w:rsidRPr="0079236C" w14:paraId="5A28FA03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2AAD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03E9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DE55" w14:textId="0221A740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Chen Neuroimage 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3FC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0B3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15 SRC vs 8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06D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038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670C" w14:textId="68F24D7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1-14</w:t>
            </w:r>
            <w:r w:rsidR="00FB43F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mo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28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C8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A259" w14:textId="639EA2D4" w:rsidR="000D0946" w:rsidRPr="0079236C" w:rsidRDefault="000D0946" w:rsidP="00D15E56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nificantly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less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dorsolateral prefrontal cortex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activation than controls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01D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2FEDFD9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C1B8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A1EF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66F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Chen J Neurol Neurosurg Psych 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A9A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838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 low PCS, 9 moderate PCS and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4CB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26.9 (low)vs 30.8(mod) vs 21.9(high)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30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0A2D" w14:textId="6019E697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Chronic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</w:t>
            </w:r>
            <w:r w:rsidR="32C729C0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ost </w:t>
            </w:r>
            <w:r w:rsidR="00FB43F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</w:t>
            </w:r>
            <w:r w:rsidR="32C729C0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oncussion </w:t>
            </w:r>
            <w:r w:rsidR="00FB43F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="0052747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yndrome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(PCS)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59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17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8BF2" w14:textId="0F2ACD73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Reduced task related activation patterns in the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dorsolateral prefrontal cortex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for low and moderate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PCS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7D7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B277F3D" w14:textId="77777777" w:rsidTr="009B196E">
        <w:trPr>
          <w:trHeight w:val="97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E371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51E9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4706" w14:textId="3FB007D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Chen Clin J Sport Med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90C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668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 SRC vs 6 cntrl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3E6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control 20+/-0.9, not improved 29.6+/-5.1, improved 33.8+/-5.6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FA7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57EE" w14:textId="78186D58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Subacute to chronic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PCS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83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81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B182" w14:textId="4D2BDEBA" w:rsidR="000D0946" w:rsidRPr="0079236C" w:rsidRDefault="00B0305C" w:rsidP="00FB43F2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Symptomatic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athletes showed decr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eased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activation of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dorsolateral prefrontal cortex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. Athletes w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 PCS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resolution showed improved fMRI activation and those with ongoing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symptoms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did not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78B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9C24F15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9059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7BE0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11E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Czerniak Brain Imaging Behav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367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368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442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D8E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7FE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23-185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E6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BB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AA67" w14:textId="061EC87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nificantly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increased brain connectivity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317B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988A6DA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08C8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CF8B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F86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Dettwiler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F15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99F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15 SRC vs 15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0F7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7C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0E2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PID3, 2wk, 2mo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C5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07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4CBA" w14:textId="40444085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nificantly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increased activation, especially in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dorsolateral prefrontal cortex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36C9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17B037B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5F18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FBD7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FD2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Elbin Brain Injury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B91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3FB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 SRC vs 14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DDD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high school and college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62B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006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3-23mo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DE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45F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8F5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difference in activation between groups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6AD1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057FB7F" w14:textId="77777777" w:rsidTr="009B196E">
        <w:trPr>
          <w:trHeight w:val="66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13B1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5683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7FB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Hammeke J Int Neuropsych Soc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52E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A10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B68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16.5 (SRC) v 16.5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8B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117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7wk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D9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37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C89F" w14:textId="06DFB01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activation seen acutely; gone at 7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weeks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05C0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CCC0168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8076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0290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812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Johnson Neuroimage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C69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17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 SRC (+9 SRC recruited later) vs 15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3A5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20.6 +/- 1.2 (SRC) vs 20.4 +/- 0.8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0D1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1920" w14:textId="270C669B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Time of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return to play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E7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20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BB84" w14:textId="1478AD68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Decreased connections in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default mode network in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parietal cortex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; increased connections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 medial prefrontal cortex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072A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2859DED" w14:textId="77777777" w:rsidTr="009B196E">
        <w:trPr>
          <w:trHeight w:val="116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ED33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9B62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DEF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Johnson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6E9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DE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D31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20.5 (SRC) vs 19.8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24A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E79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Pre/post game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D5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64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E3E9" w14:textId="52EC8FEF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Increased connectivity from </w:t>
            </w:r>
            <w:r w:rsidR="4019B200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</w:t>
            </w:r>
            <w:r w:rsidR="074B3F39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eft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supramarginal gyrus to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lateral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orbitofrontal cortices and decreased connectivity from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right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retrosplenial cortex and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right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dorsal posterior cingulate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95BD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DD87302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85DD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6068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829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Keightley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B59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86E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15 SRC vs 15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3D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14.47 +/-2.29 (SRC) vs  14 +/- 2.3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E6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7F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9-90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30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6B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2403" w14:textId="58617F62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Multiple areas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decreased activation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F78C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0AF1C1B" w14:textId="77777777" w:rsidTr="009B196E">
        <w:trPr>
          <w:trHeight w:val="121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0E6F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9B0B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BA5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Leddy J Head Trauma Rehab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959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909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 PCS treadmill exercise vs 4 PCS placebo stretching vs 4 healthy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08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PCS exercise: 24  (range 18-33); PCS placebo: 21 (range 19-30); healthy control: 21(range 18-29)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DDB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61F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PCS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D69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A0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08C1" w14:textId="1C300715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Changes improve w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exercise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5886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07A9127" w14:textId="77777777" w:rsidTr="009B196E">
        <w:trPr>
          <w:trHeight w:val="63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60A3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34BC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031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Lovell Functional Neurosurg 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1FA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1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28 SRC vs 13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A43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16.56 (SRC) vs 18.25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096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Not described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A76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&lt;1wk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03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41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96C2" w14:textId="0ACC0062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Hyperactivation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within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1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week</w:t>
            </w:r>
            <w:r w:rsidR="074B3F39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correlated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with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prolonged recovery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A805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E4A1D22" w14:textId="77777777" w:rsidTr="009B196E">
        <w:trPr>
          <w:trHeight w:val="639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F4F4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FC8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26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Meier Brain Imaging Behav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DC1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01D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43 SRC vs 51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7F8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20.29 +/- 1.31 (SRC) vs 20.26 +/- 1.44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4F0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BCB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32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CD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255F" w14:textId="27F7AD9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Regional Homogeneity [ReHo] changes appear at 1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month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601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DEA72B5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C85D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7061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2FD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Militana Brain Imaging Behav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686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EEF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 SRC vs 11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83F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19.7 +/- 1.2 (SRC) vs 20.0 +/- 1.6 yrs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C62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29E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07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BF4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60BC" w14:textId="63CAC58E" w:rsidR="000D0946" w:rsidRPr="0079236C" w:rsidRDefault="00B0305C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Cerebrovascular reactivity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abnormalities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FB54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0803A57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F64A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4CE1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C1B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Mutch J Neurosurg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506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8CF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15 PCS vs 17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716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18.3 (PCS) v 17.3(Control)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C44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B5E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PCS/PID327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80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7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9A79" w14:textId="6EF553EA" w:rsidR="000D0946" w:rsidRPr="0079236C" w:rsidRDefault="7F5643B2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Blood oxygen level dependent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BOLD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changes in response to CO2 challenge, found only w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voxel by voxel analysis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DCA2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F49C3FC" w14:textId="77777777" w:rsidTr="009B196E">
        <w:trPr>
          <w:trHeight w:val="151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AFA1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9201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129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Talavage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837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978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 at baseline, 11 with in season evaluations including 3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85A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17 (range 15-18)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7A2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65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PID3 or in season no SRC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B7E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2F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67E6" w14:textId="1A1D50BC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Similar fMRI impairments in subj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ects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sports related concussion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as those w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lots of hits and no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concussion symptoms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ABA4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C839615" w14:textId="77777777" w:rsidTr="009B196E">
        <w:trPr>
          <w:trHeight w:val="50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0743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80BE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31D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Zhu J Neurotrauma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92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9C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 SRC vs 11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E2E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20+/-1.3 SRC vs 20.5+/-1.8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357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569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1,7,30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3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F9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11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Connectivity decreases between PID 1 and 7, improves by 30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3FF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B8EEE3B" w14:textId="77777777" w:rsidTr="009B196E">
        <w:trPr>
          <w:trHeight w:val="492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F219C0B" w14:textId="1800EEE8" w:rsidR="000D0946" w:rsidRPr="0079236C" w:rsidRDefault="009B196E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Diffusion tensor imaging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DTI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)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/ 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Diffusion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MRI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76C019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  <w:t>7 Total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   7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B5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Chamard Brain Inj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B9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46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SRC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B6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4AE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90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Chronic &lt;PIM7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75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00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501D" w14:textId="48647A08" w:rsidR="000D0946" w:rsidRPr="0079236C" w:rsidRDefault="00DE528C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Increased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mean diffusivity (MD) in large white matter tracts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; decreased 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ractional anisotropy (FA)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(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corpus collosum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to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motor cortex</w:t>
            </w:r>
            <w:r w:rsidR="00D15E56" w:rsidRPr="0079236C" w:rsidDel="00D15E56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49903004" w14:textId="6EF34C46" w:rsidR="000D0946" w:rsidRPr="0079236C" w:rsidRDefault="00DE528C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recovery)</w:t>
            </w:r>
          </w:p>
        </w:tc>
      </w:tr>
      <w:tr w:rsidR="000D0946" w:rsidRPr="0079236C" w14:paraId="2023F3E6" w14:textId="77777777" w:rsidTr="009B196E">
        <w:trPr>
          <w:trHeight w:val="62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6330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0C5C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1B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Henry J Neurotrauma 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FA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07A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16 SRC vs 8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115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22.08 +/- 1.72 (SRC) vs 22.81 +/- 1.53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6DB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4FF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PID&lt;5;180; controls PIM18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5D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56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544F" w14:textId="658BE409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FA &amp; AD incr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eased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&lt;5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180; MD decrease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PID&lt;5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180.  No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post concussion symptom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data reported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E3DC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BFA8C23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08FC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89B3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3C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Lancaster Human Brain Mapping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64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9CB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26 SRC vs 26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284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17.6±1.5 (SRC) vs 18±1.5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A85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2A8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94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B3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972" w14:textId="7E7E3169" w:rsidR="000D0946" w:rsidRPr="0079236C" w:rsidRDefault="000D0946" w:rsidP="000B0BDE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&amp; cognition worse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at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 not 8; MD decrease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PID1,8;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Axial diffusivity and radial diffusivity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more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PID8;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Axial kurtosis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PID1,8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11A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39D74E4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EEB5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72D2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5D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Mayer J Neurotrauma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97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9E3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 SRC vs 14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7EF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28.23(SRC) vs 28.14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F71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F98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1yr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89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F8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F54" w14:textId="2E48118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 in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white matter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volume  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9123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44600C9" w14:textId="77777777" w:rsidTr="009B196E">
        <w:trPr>
          <w:trHeight w:val="96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A3AA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8DAC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FE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Meier Human Brain Mapping 2016a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FA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7B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40 SRC vs 46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52B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20.12(SRC) vs 20.31 (control);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663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3D5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PID1,8,32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25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A6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860" w14:textId="4DF7AFF7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Increase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FA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PID1,8,32; HAM-A &amp; HAM-D worse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PID1,8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but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not 32; S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 frequency and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cognitive composite worse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PID1,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but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not PID8,32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7D72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ED481F9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8DE0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ACFE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8C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Murugavel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F4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D05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 SRC vs 16 control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17E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20.19 (SRC) vs 19.9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323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496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2, 14, 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9E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BB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392E" w14:textId="1DD5DE09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RD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FA at PID 2 compared to PID 14 and compared to control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F816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3E28941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AE55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D9AD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031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Wright PLoS One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D43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BD9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45 baseline, 11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21E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21.2+/-3.1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387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81041" w14:textId="209CEAB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aseline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,PID3,14,60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4D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C3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FF7" w14:textId="49B2C7A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Myelin water fraction  decreased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PID3, trend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to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="57307F1F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PID14, back to baseline </w:t>
            </w:r>
            <w:r w:rsidR="00B0305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by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PID60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1A3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CF572F0" w14:textId="77777777" w:rsidTr="009B196E">
        <w:trPr>
          <w:trHeight w:val="492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4B83617" w14:textId="44F75133" w:rsidR="000D0946" w:rsidRPr="0079236C" w:rsidRDefault="009B196E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Magnetic resonance spectro-scopy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MRS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9FFE20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10 Total</w:t>
            </w:r>
            <w:r w:rsidRPr="0079236C">
              <w:rPr>
                <w:rFonts w:ascii="Calibri,Times New Roman" w:eastAsia="Calibri,Times New Roman" w:hAnsi="Calibri,Times New Roman" w:cs="Calibri,Times New Roman"/>
              </w:rPr>
              <w:t xml:space="preserve">      1 Lvl2           9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FFE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Chamard Neurosurg Focus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420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B87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45 total, 11 concussions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EC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 (20-26), F (17.5-37.2)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007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B64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2d,2wk,2mo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0E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5F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2F2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changes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2B0153B8" w14:textId="5D672427" w:rsidR="000D0946" w:rsidRPr="0079236C" w:rsidRDefault="00DE528C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recovery)</w:t>
            </w:r>
          </w:p>
        </w:tc>
      </w:tr>
      <w:tr w:rsidR="000D0946" w:rsidRPr="0079236C" w14:paraId="25A1EDB7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74AC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BF22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CD4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Chamard Brain Inj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0F3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4C1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SRC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783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F4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7F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&gt;7mo.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A4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0B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F57A" w14:textId="295F3A4D" w:rsidR="000D0946" w:rsidRPr="0079236C" w:rsidRDefault="00471C95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myoinositol/creatinine</w:t>
            </w:r>
            <w:r w:rsidR="7C89E45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(hippocampus,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motor cortex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);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FE0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F16D9C6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9434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78ED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3B2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Chamard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FC5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7AC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11 SRC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6CA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21.4 (SRC) vs 21.1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114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4C4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PID9, 6mo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D5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BB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B17B" w14:textId="45FAB4F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Sig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nificantly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decreased g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utamate/c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7C89E45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&gt;6mo, not at PID9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49D6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FDD1828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D4FA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69C6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0AB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Henry J Neurotrauma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8B8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9C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652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23 +/- 0.71 (SRC) vs 22.1 +/- 0.77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2ED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495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&lt;7d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B2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8A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BCA6" w14:textId="5C086650" w:rsidR="000D0946" w:rsidRPr="0079236C" w:rsidRDefault="000B0BDE" w:rsidP="00D15E56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g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utamate</w:t>
            </w:r>
            <w:r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/c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motor cortex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,</w:t>
            </w:r>
            <w:r w:rsidR="7C89E45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decreased </w:t>
            </w:r>
            <w:r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NAA/c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</w:t>
            </w:r>
            <w:r w:rsidR="7C89E45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ratio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dorsolateral prefrontal cortex</w:t>
            </w:r>
            <w:r w:rsidR="003344A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and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motor cortex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823A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6148936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4A9D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4B23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AD4B" w14:textId="6F614E3A" w:rsidR="000D0946" w:rsidRPr="0079236C" w:rsidRDefault="000D0946" w:rsidP="00B96D5D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Henry J </w:t>
            </w:r>
            <w:r w:rsidR="00B96D5D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BMC Neurol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CA6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6EB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SRC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3D3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65E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Not mentioned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69F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Acute, chronic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BA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41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27CC" w14:textId="4047E661" w:rsidR="000D0946" w:rsidRPr="0079236C" w:rsidRDefault="000D0946" w:rsidP="000B0BDE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Gl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utamate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decreased in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motor cortex</w:t>
            </w:r>
            <w:r w:rsidR="00D15E56" w:rsidRPr="0079236C" w:rsidDel="00D15E56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acutely, but recovers at chronic</w:t>
            </w:r>
            <w:r w:rsidR="2A1AFAD9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time point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. NAA/c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</w:t>
            </w:r>
            <w:r w:rsidR="2A1AFAD9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decreased in both. 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Myoinositol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/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reatinine ratio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increased only chronic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ally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C8E1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B1495EE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0A99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60E6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0A8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Johnson J Neurotrauma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510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A3C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28 SRC vs 20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D77E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20.3 +/- 1.53(SRC) vs 20.2 +/- 0.83 (control),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AEF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7B1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d7 or 8-14d or &gt;14d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DF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1B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A242" w14:textId="69A89ECC" w:rsidR="000D0946" w:rsidRPr="0079236C" w:rsidRDefault="000D0946" w:rsidP="000B0BDE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2A1AFAD9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NAA/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ho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 NAA/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 genu of corpus callosum, but no time effect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39CD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0CC1133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8C3A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6784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B50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Sikoglu Cogn Behav Neurol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803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F60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 SRC vs 13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626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"Adults"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BB5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11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mean PID 76.5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DF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FD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FDFA" w14:textId="25E9F83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Increased energy demand in the </w:t>
            </w:r>
            <w:r w:rsidR="00471C95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prefrontal cortex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of concussed brain as measured by gamma-NTP, a phosphorous metabolite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E63E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D4885EC" w14:textId="77777777" w:rsidTr="009B196E">
        <w:trPr>
          <w:trHeight w:val="528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CC1C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2804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ECB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Vagnozzi Neurosurg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84D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342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11 SRC vs 11 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76C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24.6+/-6.4 (SRC) vs 25.9+/-5.7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186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66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1,15,22,30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57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B6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6A75" w14:textId="3E99984F" w:rsidR="000D0946" w:rsidRPr="0079236C" w:rsidRDefault="000B0BDE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NAA/c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eased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PID1,15, recov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ered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by PID30. 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With 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  <w:vertAlign w:val="superscript"/>
              </w:rPr>
              <w:t>nd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inj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ury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 PID1-15, not recov</w:t>
            </w:r>
            <w:r w:rsidR="4F8853D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ered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until PID 45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BFFF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8AF976B" w14:textId="77777777" w:rsidTr="009B196E">
        <w:trPr>
          <w:trHeight w:val="97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66FB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7EC0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FB9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Vagnozzi Brain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D22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1D9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 SRC (3 sustained 2nd concussion) vs 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707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27+/-4.8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339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D23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3,15,22,30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36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15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3861" w14:textId="0530E66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NAA/c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eatinine 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and NAA/c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ho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line ratios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PID3, partial recovery</w:t>
            </w:r>
            <w:r w:rsidR="003344A1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PID15, recovery PID30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9AE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646F75E" w14:textId="77777777" w:rsidTr="009B196E">
        <w:trPr>
          <w:trHeight w:val="74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0C07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51C0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2CB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Vagnozzi J Head Trauma Rehab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B7A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8AE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40 SRC (5 pro, 35 non-pro);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EA0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27.6+/-3.58 (SRC) vs 26.5+/-5.53 (control)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34D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C55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1,15,30,45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4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45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9114" w14:textId="40EC841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Increase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NAA/c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eatinine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3,15, normalize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by PID</w:t>
            </w:r>
            <w:r w:rsidR="1B80F34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30. Decrease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NAA/c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ho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line ratio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3,15,30, normalize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by </w:t>
            </w:r>
            <w:r w:rsidR="742AB5D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PID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45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7A44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5D9D47F" w14:textId="77777777" w:rsidTr="009B196E">
        <w:trPr>
          <w:trHeight w:val="1452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B8C7902" w14:textId="5EF2FC39" w:rsidR="000D0946" w:rsidRPr="0079236C" w:rsidRDefault="00F97093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Cerebral Blood Flow</w:t>
            </w:r>
            <w:r w:rsidR="009B196E"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CBF</w:t>
            </w: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70B33D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8 Total </w:t>
            </w:r>
            <w:r w:rsidRPr="0079236C">
              <w:rPr>
                <w:rFonts w:ascii="Calibri,Times New Roman" w:eastAsia="Calibri,Times New Roman" w:hAnsi="Calibri,Times New Roman" w:cs="Calibri,Times New Roman"/>
              </w:rPr>
              <w:t xml:space="preserve">       1 Lvl2          7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0B18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Barlow J Neurotrauma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232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F90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Sx=34 (27 completed study), ASx=26 (24 completed), control=24(21 completed)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0AD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14.03 (Sx) v14.09 (ASx) vs 14.4 (controls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7B4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E5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A8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60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24E" w14:textId="10B26455" w:rsidR="000D0946" w:rsidRPr="0079236C" w:rsidRDefault="000D0946" w:rsidP="000B0BDE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At PID 40, 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ymptomatic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SRC subjects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have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global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CBF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vs controls;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symptomatic subject</w:t>
            </w:r>
            <w:r w:rsidR="1B80F34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have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CBF vs control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114CAEC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recovery)</w:t>
            </w:r>
          </w:p>
        </w:tc>
      </w:tr>
      <w:tr w:rsidR="000D0946" w:rsidRPr="0079236C" w14:paraId="32DBBF7B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9DB8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8EB7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15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Clausen J Head Trauma Rehab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7D4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B582" w14:textId="77777777" w:rsidR="000D0946" w:rsidRPr="0079236C" w:rsidRDefault="000D0946" w:rsidP="0052747C">
            <w:pPr>
              <w:spacing w:line="240" w:lineRule="auto"/>
              <w:jc w:val="right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217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26+/-3 (SRC)vs 21+/-3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483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4C9B" w14:textId="071A791D" w:rsidR="000D0946" w:rsidRPr="0079236C" w:rsidRDefault="00F97093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ean 9wks; 6 subj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ects with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12 wk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intervention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0D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E98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269" w14:textId="1DAD0DED" w:rsidR="000D0946" w:rsidRPr="0079236C" w:rsidRDefault="000D0946" w:rsidP="00F97093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CBF by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transcranial doppler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during exercise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normalize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sub-threshold exercise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program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D679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3F104EA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DB15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A3B4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A8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DaCosta Front Neurol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B50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DFE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25 SRC 18 controls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8AC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42.7 (SRC) v38.7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346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496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mean PID 63, 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7E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23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548" w14:textId="43E3504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Correlation between decreased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gray matter cerebral vasoreactivity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indexes &amp; decreased performance on SCAT2 in mTBI at &gt;120d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8D7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17B5E26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67A6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34CE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20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Len Brain Inj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E87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B025" w14:textId="77777777" w:rsidR="000D0946" w:rsidRPr="0079236C" w:rsidRDefault="000D0946" w:rsidP="0052747C">
            <w:pPr>
              <w:spacing w:line="240" w:lineRule="auto"/>
              <w:jc w:val="right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89A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19.7±3.3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C2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BB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2,4,8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78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5E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6DE" w14:textId="272CF99A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sig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difference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 CBF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rest. Hypercapnia lead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to impaired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cerebral vasoreactivity</w:t>
            </w:r>
            <w:r w:rsidR="00DB7D5D" w:rsidRPr="0079236C" w:rsidDel="00DB7D5D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</w:t>
            </w:r>
            <w:r w:rsidR="000B0BDE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SRC athletes, resolved by PID4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977F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AAC38E0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7AC7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0818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4DF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Maugans Pediatrics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DD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AD0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6E1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109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F7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&lt;3,14,&gt;30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C8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05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93E" w14:textId="478B510D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CBF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PID3. 27% resolved by PID14 and 64% resolved at PID&gt;30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DF13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8CA1423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EDE6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757B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945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Meier JAMA Neurol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D4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3E0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17 SRC vs 27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BE2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20.57 (SRC) vs 20.65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89F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C1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1,7,30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1F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5A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EE76" w14:textId="12FBF2F9" w:rsidR="000D0946" w:rsidRPr="0079236C" w:rsidRDefault="000D0946" w:rsidP="00F97093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CBF via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Arterial Spin Labelling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in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right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insular cortex, superior temporal sulcus at PID7, recovered at 1mo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0EE1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431978B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3564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1101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F8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Mutch J Neurosurg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A95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5A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15 PCS vs 17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F85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18.3 PCS vs 17.3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652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D98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mean PID 327 (33-993)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2B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E1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5D69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difference in global CBF.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2F3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777B580" w14:textId="77777777" w:rsidTr="009B196E">
        <w:trPr>
          <w:trHeight w:val="74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F707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A24D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8BD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Wang J Neurotrauma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D6B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8D5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 SRC vs 19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DCD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17.72+/-1.53(SRC) vs 18+/-1.76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A10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EF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Baseline, PID 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17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5E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7CCDB6" w14:textId="1FBECCF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CBF </w:t>
            </w:r>
            <w:r w:rsidR="1B80F34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on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Arterial Spin Labelling</w:t>
            </w:r>
            <w:r w:rsidR="1B80F34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</w:t>
            </w:r>
            <w:r w:rsidR="35A0F43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n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right</w:t>
            </w:r>
            <w:r w:rsidR="1B80F34E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supplementary motor area at PID1, more diffuse 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 in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CBF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PID8. Neurocognitive recovery by PID8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CB20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F4913F9" w14:textId="77777777" w:rsidTr="009B196E">
        <w:trPr>
          <w:trHeight w:val="864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67AD75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Electro-physiology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1A4681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15 Total </w:t>
            </w:r>
            <w:r w:rsidRPr="0079236C">
              <w:rPr>
                <w:rFonts w:ascii="Calibri,Times New Roman" w:eastAsia="Calibri,Times New Roman" w:hAnsi="Calibri,Times New Roman" w:cs="Calibri,Times New Roman"/>
              </w:rPr>
              <w:t xml:space="preserve">      3 Lvl2         12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6B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Baillargeon Brain Inj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B83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01B9" w14:textId="77777777" w:rsidR="000D0946" w:rsidRPr="0079236C" w:rsidRDefault="000D0946" w:rsidP="0052747C">
            <w:pPr>
              <w:spacing w:line="240" w:lineRule="auto"/>
              <w:jc w:val="right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1E0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9–12, 13–16, and "adults"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BEB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B1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&gt;6mo.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21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32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4A03D" w14:textId="6E2F28D8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P3b amplitude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3CF432AE" w14:textId="012EA14F" w:rsidR="000D0946" w:rsidRPr="0079236C" w:rsidRDefault="00DE528C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</w:t>
            </w:r>
            <w:r w:rsidR="00BC569D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, and incomplete longitudinal follow-up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</w:t>
            </w:r>
          </w:p>
        </w:tc>
      </w:tr>
      <w:tr w:rsidR="000D0946" w:rsidRPr="0079236C" w14:paraId="5EB5E521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044B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849A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E6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Barr Brain Inj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471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711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59 SRC vs 31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F51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"high school"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519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13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PID1,8,45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AAE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98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E155D" w14:textId="223EE6E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MTBI-discriminant score index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on PID 1, 8, not 45. Clinical recovery by PID8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66FA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8BC0DE7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41B2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34E5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90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Broglio J Neurotrauma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C4D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348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46 SRC vs 44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8AD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19.7 +/-1.3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25C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EE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3.4yr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E2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42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8AD" w14:textId="19AA1EF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35A0F43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N2, P3b amplitude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536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17086EAE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E610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C80F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0A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Cao IEEE Trans Neural Syst Rehabil Eng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EBD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44E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61  baseline,  30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B7B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119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DF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12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B5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524D6" w14:textId="622CC5E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Persistent change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PID30 on novel algorithm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30EB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03902A7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AC7C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EEA7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AE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Cao IEEE Trans Neural Syst Rehabil Eng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90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CF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160 Baseline, 29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21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8C4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07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93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CF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533EF" w14:textId="6AB1A355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Persistent change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PID30 on novel algorithm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2BB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4EEC233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7601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D23C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29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Cao Clin Neurophysiol 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592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80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260 baseline (30 SRC v 30 control)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35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AD4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FD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DA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C2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B52D3" w14:textId="3BD3E15A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Persistent change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 PID30 of EEG nonstationerity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5490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0FFD085" w14:textId="77777777" w:rsidTr="009B196E">
        <w:trPr>
          <w:trHeight w:val="97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CC44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339B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AA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Dupuis Neuroreport 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C88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341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symptomatic  v 10  asymptomatic vs 10 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27E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21.5, 21.4, 21.6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67F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9D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Chronic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14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8F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0D08F" w14:textId="5FEC3AA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P3 amplitude in chronic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ally</w:t>
            </w:r>
            <w:r w:rsidR="4D7D3192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symptomatic subjects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vs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asymptomatic subjects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or controls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DB39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4E4D3EE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F534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AF09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96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Gosselin Neurosurg 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D73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B05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 SRC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F51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ctrl = 22.0 +/-1.8; Case:ASx = 26.1 +/- 6.1; Case:Sx = 25.7 +/- 7.0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5A1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8B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5.3+/-3.1wk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8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18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1B1D" w14:textId="441B884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amplitude early and late ERP components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128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F183CA1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33A3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D00E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59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Gosselin Neurosurg Focus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947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0DF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46 SRC vs40 control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99A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Exp = 30.3 +/- 11.1; ctrl = 28.6 +/- 10.5 (inclusion: 16-60)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31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94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7.6+/-8.4mo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038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41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D2C02" w14:textId="6F470FA2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amplitude N1, P2, P3 chronically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358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F149601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ADC8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A2FF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85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Lavoie J Clin Exp Neuropsychol 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E12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5AC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Sx vs 10 ASx vs 10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545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21.4y Sx vs 21.5y ASx vs 21.6y controls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80F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FE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0-6mo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7D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0D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985" w14:textId="0804AF8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amplitude of P3 in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symptomatic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vs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asymptomatic subjects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or control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025B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202ADEF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B961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A594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FAD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McCrea J Head Trauma Rehab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34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A1D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Baseline 396 (28 SRC vs 28 controls)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5A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"high school and college age"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0C9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E2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PID8,45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CB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F9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BD04" w14:textId="1DC8609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QEEG sig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nificantly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different at PID8, recovered by PID45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114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5368C94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754D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E534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0B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Prichep J Head Trauma Rehab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477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614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65SRC (Mild51, Moderate14)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871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17.9 (15.1-23.2)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299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FB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PID1,8,45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A4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8B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47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“TBI-Index” different between mild, moderate SRC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EE7F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CBDAD81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C086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AE37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C8F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Slobounov Neurosci Lett 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790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F94F" w14:textId="77777777" w:rsidR="000D0946" w:rsidRPr="0079236C" w:rsidRDefault="000D0946" w:rsidP="0052747C">
            <w:pPr>
              <w:spacing w:line="240" w:lineRule="auto"/>
              <w:jc w:val="right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22C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959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9A4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PID10,30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FC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9B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25F" w14:textId="1AED3483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Movement </w:t>
            </w:r>
            <w:r w:rsidR="55FF317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elated </w:t>
            </w:r>
            <w:r w:rsidR="55FF317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ortical </w:t>
            </w:r>
            <w:r w:rsidR="55FF317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otentials affected at PID30 in patients with recovered balance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ACCB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93FCD8C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5F9E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16DD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15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Slobounov Clin Neurophysiol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5CC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38C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265 baseline, 21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2FD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EC8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11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11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DCA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E837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EEG-IQ beyond day of clinical recovery (PID7)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5C6F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5EF2996" w14:textId="77777777" w:rsidTr="009B196E">
        <w:trPr>
          <w:trHeight w:val="74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D547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D521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F9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Slobounov Clin Neurophysiol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CA5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7A0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380 baseline, 49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DD4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9CA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52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3F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F9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B30B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Alpha power suppression from sitting to standing postures increased on average  33.3 ± 10%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99E0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780AFE9" w14:textId="77777777" w:rsidTr="009B196E">
        <w:trPr>
          <w:trHeight w:val="939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31B3331" w14:textId="1758D115" w:rsidR="000D0946" w:rsidRPr="0079236C" w:rsidRDefault="009B196E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lastRenderedPageBreak/>
              <w:t>Heart rate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HR</w:t>
            </w: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5878E2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  <w:t xml:space="preserve">4 Total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   1 Lvl2       3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69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Abaji J Neurotrauma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8A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CC3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12 SRC vs 12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E2A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21.4 +/- 1.1 (SRC) vs 22.1 +/- 1.6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BD0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F2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95+/- 63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31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E8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01ABF" w14:textId="2B494F11" w:rsidR="000D0946" w:rsidRPr="0079236C" w:rsidRDefault="000D0946" w:rsidP="00F97093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No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significant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changes in mean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heart rate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, intervals, approximate entropy, absolute power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low frequency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bands.  SRC had decreased power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high frequency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bands &amp; increased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/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high frequency band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ratio during exercise.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42AED07A" w14:textId="12EFE422" w:rsidR="000D0946" w:rsidRPr="0079236C" w:rsidRDefault="00BC569D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(no consensus on time for recovery)</w:t>
            </w:r>
          </w:p>
        </w:tc>
      </w:tr>
      <w:tr w:rsidR="000D0946" w:rsidRPr="0079236C" w14:paraId="61949D02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96473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F4B5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85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Gall Med Sci Sports Exer 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041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9C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 SRC vs 14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399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18.1 (SRC) v 18.8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2E1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A4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PID2 &amp; when ASx (PID?)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46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A7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06C3" w14:textId="366B0190" w:rsidR="000D0946" w:rsidRPr="0079236C" w:rsidRDefault="000D0946" w:rsidP="00F97093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Heartbeat variability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concussion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E202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324A60F" w14:textId="77777777" w:rsidTr="009B196E">
        <w:trPr>
          <w:trHeight w:val="49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846F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6827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CD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LaFontaine Autonom Neurosci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79F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E53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 SRC  and 3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BC8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19±2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AA5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AD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(n=3/3) PID2,14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AA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21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F655" w14:textId="0B47AD3E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H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eart rate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complexity decrease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during isometric hand grip test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PID2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9F62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0C5C4CF" w14:textId="77777777" w:rsidTr="009B196E">
        <w:trPr>
          <w:trHeight w:val="50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3654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0CE0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53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LaFontaine Front Neurol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970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DF6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10 SRC vs 7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245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19.4±1.1 (SRC) 20±1.4 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369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AEF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CD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6E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2FB8F9" w14:textId="0CAD0479" w:rsidR="000D0946" w:rsidRPr="0079236C" w:rsidRDefault="000D0946" w:rsidP="00F97093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Stroke volume 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d at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PID2,7.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Prolonged recovery subjects had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lower stroke volume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8085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63054944" w14:textId="77777777" w:rsidTr="009B196E">
        <w:trPr>
          <w:trHeight w:val="492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E1BF7B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Exercise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1FA078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 xml:space="preserve">2 Total   </w:t>
            </w:r>
            <w:r w:rsidRPr="0079236C">
              <w:rPr>
                <w:rFonts w:ascii="Calibri,Times New Roman" w:eastAsia="Calibri,Times New Roman" w:hAnsi="Calibri,Times New Roman" w:cs="Calibri,Times New Roman"/>
              </w:rPr>
              <w:t xml:space="preserve">     2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E7A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Kozlowski J Athl Training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10C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E52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34 PCS vs 22 control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0B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25.9 +/- 10.9 (SRC) vs 23.3 +/- 6.2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084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49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Chronic PCS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FA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D3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052" w14:textId="3350C94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Exercise duration,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heart rate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,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ystolic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BP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were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lower,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and diastolic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BP higher than controls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B7C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conclusion (only chronic PCS vs controls)</w:t>
            </w:r>
          </w:p>
        </w:tc>
      </w:tr>
      <w:tr w:rsidR="000D0946" w:rsidRPr="0079236C" w14:paraId="49A8B9F4" w14:textId="77777777" w:rsidTr="009B196E">
        <w:trPr>
          <w:trHeight w:val="78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8B3F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C9A5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E6D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Leddy Clin J Sports Med 2011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E3D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54F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 SRC vs 10 controls vs 10 actors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BD9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29.8 +/- 14.8  (SRC); healthy: 26.5 +/- 8.2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0E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E43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Chronic PCS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C7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E0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7248" w14:textId="50CCAA1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Balke treadmill test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was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reliable to identify chronic PCS patients with 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exacerbation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ED2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30864E5" w14:textId="77777777" w:rsidTr="009B196E">
        <w:trPr>
          <w:trHeight w:val="1140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8F2A0F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Bio-ma</w:t>
            </w:r>
            <w:bookmarkStart w:id="0" w:name="_GoBack"/>
            <w:bookmarkEnd w:id="0"/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rkers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F1680C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  <w:t xml:space="preserve">10 Total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       10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D94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Dambinova Mili Medicine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B50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D27F" w14:textId="4AE18C2B" w:rsidR="000D0946" w:rsidRPr="0079236C" w:rsidRDefault="000D0946" w:rsidP="0079236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33 SRC (6 </w:t>
            </w:r>
            <w:r w:rsid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with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6mo f/u) v 91 controls (41 athletes, 51 non)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280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21+/-3.3 (SRC)vs 21+/-3.0(controls)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8E5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BA0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Unk (3 in 6m)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AC9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9F2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B99C" w14:textId="3D4709CE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AMPA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receptor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concussion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2FE082D8" w14:textId="51534ACD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 (most change p</w:t>
            </w:r>
            <w:r w:rsid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ost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SRC;  some don’t; </w:t>
            </w:r>
            <w:r w:rsidRPr="0079236C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some </w:t>
            </w:r>
            <w:r w:rsidR="00BC569D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correlate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w</w:t>
            </w:r>
            <w:r w:rsid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clinical – SNTF, Tau-A, GFAP; some conflicted s100b, Tau)  </w:t>
            </w:r>
          </w:p>
        </w:tc>
      </w:tr>
      <w:tr w:rsidR="000D0946" w:rsidRPr="0079236C" w14:paraId="2C9F80D3" w14:textId="77777777" w:rsidTr="009B196E">
        <w:trPr>
          <w:trHeight w:val="120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3898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F957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AD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Gill J Head Trauma Rehab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D33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E3C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31  (15 concussed athletes, 16 non-concussed athletes as ctrl)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703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19.44+/-1.51 (SRC) vs 18.53 =/- 0.41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5D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79A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BL, PIH6,168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570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AE4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56E6" w14:textId="461684F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Genome changes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at post injury hour(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PIH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)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6,168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A5B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65D672B" w14:textId="77777777" w:rsidTr="009B196E">
        <w:trPr>
          <w:trHeight w:val="120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DF79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04CF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B74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Kiechle PLoS One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835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9AE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46 total enrolled (30 munich, 16 rochester), 22 with concussion, 30 post-exertion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7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25.4 +/- 5.5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597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C7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Pre-S, PIH3, PID2,3,7; also exertion no C#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166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3E6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4FEA" w14:textId="42EA29F0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s100b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PIH3, not PID2,3,7 or after exertion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078F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1685FA6" w14:textId="77777777" w:rsidTr="009B196E">
        <w:trPr>
          <w:trHeight w:val="48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BA02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B051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AA1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Mannix J Neurotrauma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9F7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0B1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 Concussed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A62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14.7±2.2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0BB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440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PIH&lt;24;24-72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950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365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5B2F" w14:textId="2B7E1DFF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GFAP PIH&lt;24h correlated w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Rivermead Post-Concussion Symptom Questionnaire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90C4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AE5F202" w14:textId="77777777" w:rsidTr="009B196E">
        <w:trPr>
          <w:trHeight w:val="1416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A401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A11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01A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Marchi Plos One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8D3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Case Series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EC4D" w14:textId="14678C81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67 Baseline; 15 in season 10 </w:t>
            </w:r>
            <w:r w:rsid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with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ED9C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18-23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56E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F47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BL, PIH1,24, also preseason, postseason &amp;  6mo+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72E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2E2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774A" w14:textId="753A71D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s100b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PIH1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and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correlates with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head head index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questionnaire; s100b autoantibodies increase w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head head index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, correlate with DTI &amp; maybe BESS 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A4C17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41AB2AA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226E4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AF5E2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BF0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Neselius Brain Inj 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9CC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303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30 SRC vs 25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80B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 (17-34) (SRC) vs 22 (17-30)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675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538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Pre-bout no contact&gt;14d, PID&lt;6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B44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6F1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E15A" w14:textId="2C4F60CB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Tau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PID&lt;6 &amp; decrease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over time; BDNF, Abeta-42 &amp; s100b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had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no change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40A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3BC915A3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4EA7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4A93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24E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Oliver J Exp Neurosci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D3E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608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110 preseason, 6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728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College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B4C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F29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Preseason BL, PID1,2,3, 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7333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532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E119" w14:textId="7C410D7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Urine marinobufagenin change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concussion (n=5/6)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D656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053124D7" w14:textId="77777777" w:rsidTr="009B196E">
        <w:trPr>
          <w:trHeight w:val="97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FDE8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9232F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8DC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Shahim JAMA Neurol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EA1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8C4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28 SRC vs 28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E0D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"Adult"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BE0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D66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BL, PIH1,12,36,48, 144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DD1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E97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940" w14:textId="694FE938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T-tau increase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concussion; T-tau increase </w:t>
            </w:r>
            <w:r w:rsidR="00F97093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PIH144 correlates with PCS&gt;6d, not PCS&lt;6d; T-tau predicted s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resolution; s100b &amp; NSE did not 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38DB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70807DC3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F00C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DC6BB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D81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Shahim J Neurotrauma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A4C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603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28 SRC vs 47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2C7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"Adult"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104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EE6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BL, PIH1,12,36,48,144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95E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6008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1E0C" w14:textId="59ECC77A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Tau-A no change after concussion; Tau-C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after concussion; Tau-A correl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ates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w</w:t>
            </w:r>
            <w:r w:rsid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PCS/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return to play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&gt;10d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7980A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5B44CA28" w14:textId="77777777" w:rsidTr="009B196E">
        <w:trPr>
          <w:trHeight w:val="732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5A2A5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D50B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AE158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Siman J Neurotrauma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E95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B311D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Baseline 288; 24 SRC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FBC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27.6 SRC vs 27.2 control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0F7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5A04D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Preseason, PIH1,12,36,144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D0A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45A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21C6DF" w14:textId="45D93685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SNTF increase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PIH1,12,36,144; not 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return to play 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7437D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9DA8910" w14:textId="77777777" w:rsidTr="009B196E">
        <w:trPr>
          <w:trHeight w:val="480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90C3FC3" w14:textId="25CD9F18" w:rsidR="000D0946" w:rsidRPr="0079236C" w:rsidRDefault="00B96D5D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</w:rPr>
              <w:t>Transcra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nial Magnetic Stimulation (</w:t>
            </w:r>
            <w:r w:rsidR="000D0946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TMS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5F716D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  <w:sz w:val="24"/>
                <w:szCs w:val="24"/>
              </w:rPr>
              <w:t xml:space="preserve">4 Total 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   1 Lvl2       3 Lvl3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4CBE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DeBeaumont J Athl Training 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E5CC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Cross Sectional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59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21 SRC vs 15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34A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22.3 ±3.45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A562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707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Chronic (PIM&gt;9)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C3EB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192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3CD6" w14:textId="029AD8CB" w:rsidR="000D0946" w:rsidRPr="0079236C" w:rsidRDefault="000D0946" w:rsidP="00D15E56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SRC worse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balance, 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and correlates with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more </w:t>
            </w:r>
            <w:r w:rsidR="00D15E56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motor cortex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intracortical inhibition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7904D7D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Low</w:t>
            </w:r>
          </w:p>
        </w:tc>
      </w:tr>
      <w:tr w:rsidR="000D0946" w:rsidRPr="0079236C" w14:paraId="776A23B7" w14:textId="77777777" w:rsidTr="009B196E">
        <w:trPr>
          <w:trHeight w:val="72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8F8D0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E20C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244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Livingston J Clin Neurophysiol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4AD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5FB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 SRC vs 9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9C6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20.4±1.3 (SRC) vs  20.8±1.5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9426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5E4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PID1,3,5,10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C56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8F2F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A93B" w14:textId="20D954B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TMS motor evoked potentials p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ost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SRC </w:t>
            </w:r>
            <w:r w:rsidR="1AA3318A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show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longer Median 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latencies at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PID10 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than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PID1; shorter Ulnar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latencies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PID3 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than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PID5. No correlation with s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ymptoms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or cognition.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2E4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256243A8" w14:textId="77777777" w:rsidTr="009B196E">
        <w:trPr>
          <w:trHeight w:val="480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914D9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19BEE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BDC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Pearce J Sci Med Sport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07C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B96B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8SRC vs 15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99E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25+/-4.5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58A9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1D2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2,4,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CE70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68C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FFE0" w14:textId="276E2DE5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Increased corticospinal inhibition w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TMS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at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PID 2,4,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but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not 10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AFCD6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16655C4" w14:textId="77777777" w:rsidTr="009B196E">
        <w:trPr>
          <w:trHeight w:val="696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A5A6C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BCBA1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BFDCF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Powers Brain Inj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FB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D7A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 SRC vs 8C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04A5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20+/-1.4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2C1F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D1769B" w14:textId="4C938EAD" w:rsidR="000D0946" w:rsidRPr="0079236C" w:rsidRDefault="000D0946" w:rsidP="007E4E1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PID 6-34 (after recovery/</w:t>
            </w:r>
            <w:r w:rsidR="007E4E1C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return to play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EDE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94D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FC26F0" w14:textId="3BEC5966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SRC lower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intracortical facilitation, lower</w:t>
            </w:r>
            <w:r w:rsidR="1AA3318A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maximum voluntary muscle activation, 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and causes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greater perception of force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CAC8" w14:textId="77777777" w:rsidR="000D0946" w:rsidRPr="0079236C" w:rsidRDefault="000D0946" w:rsidP="000D0946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D0946" w:rsidRPr="0079236C" w14:paraId="4106172A" w14:textId="77777777" w:rsidTr="009B196E">
        <w:trPr>
          <w:trHeight w:val="5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50477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Accelero-metry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0EE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7DFE00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Auerbach Clin J Sports Med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1B6B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Cohort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B467" w14:textId="77777777" w:rsidR="000D0946" w:rsidRPr="0079236C" w:rsidRDefault="000D0946" w:rsidP="0052747C">
            <w:pPr>
              <w:spacing w:line="240" w:lineRule="auto"/>
              <w:jc w:val="right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E022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13-18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56FD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F7EB3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BL, PID&lt;3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BB5A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4289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5B6F9E" w14:textId="4A27DD14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Abnormal pattern on cranial accelerometry in 10/13 SRC vs 3/82 non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SRC</w:t>
            </w:r>
            <w:r w:rsidR="00DB7D5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controls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5BED1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No conclusion</w:t>
            </w:r>
          </w:p>
        </w:tc>
      </w:tr>
      <w:tr w:rsidR="000D0946" w:rsidRPr="0079236C" w14:paraId="28CE8468" w14:textId="77777777" w:rsidTr="009B196E">
        <w:trPr>
          <w:trHeight w:val="7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38BC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b/>
                <w:bCs/>
              </w:rPr>
              <w:t>FNIRS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7C95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E61C73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Kontos Brain Imaging Behav 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23B8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Prospective Case 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3D54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9 SRC vs 5 controls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8E1D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22.73 +/- 1.32 (SRC) vs  22.00 +/- 0.28 (controls)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DD21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Mixed M/F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4E18BA" w14:textId="7777777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Single session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53F6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EDA4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358E49" w14:textId="53D56467" w:rsidR="000D0946" w:rsidRPr="0079236C" w:rsidRDefault="000D0946" w:rsidP="0052747C">
            <w:pPr>
              <w:spacing w:line="240" w:lineRule="auto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Decreased brain activity seen by FNIRS, associated w</w:t>
            </w:r>
            <w:r w:rsidR="00C95CED"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>ith</w:t>
            </w: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 lower neurocognitive scores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05AF7" w14:textId="77777777" w:rsidR="000D0946" w:rsidRPr="0079236C" w:rsidRDefault="000D0946" w:rsidP="0052747C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</w:pPr>
            <w:r w:rsidRPr="0079236C">
              <w:rPr>
                <w:rFonts w:ascii="Calibri,Times New Roman" w:eastAsia="Calibri,Times New Roman" w:hAnsi="Calibri,Times New Roman" w:cs="Calibri,Times New Roman"/>
                <w:sz w:val="18"/>
                <w:szCs w:val="18"/>
              </w:rPr>
              <w:t xml:space="preserve">No conclusion  </w:t>
            </w:r>
          </w:p>
        </w:tc>
      </w:tr>
    </w:tbl>
    <w:p w14:paraId="35F4DEBA" w14:textId="164C0AB6" w:rsidR="000D0946" w:rsidRPr="0079236C" w:rsidRDefault="000D0946">
      <w:pPr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14:paraId="7E43A0FC" w14:textId="77777777" w:rsidR="0052747C" w:rsidRPr="0079236C" w:rsidRDefault="0052747C">
      <w:pPr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14:paraId="499286D8" w14:textId="71E85AA2" w:rsidR="003779DA" w:rsidRPr="00981F95" w:rsidRDefault="0052747C" w:rsidP="0079236C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79236C">
        <w:rPr>
          <w:rFonts w:ascii="Times New Roman" w:hAnsi="Times New Roman" w:cs="Times New Roman"/>
          <w:b/>
          <w:sz w:val="24"/>
          <w:szCs w:val="24"/>
        </w:rPr>
        <w:t xml:space="preserve">Table 2:  List of each article included in the final systematic review. Table includes study design, characteristics of study population, risk of bias, level of evidence, and study results. </w:t>
      </w:r>
      <w:r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Risk of bias determined using Newcastle Ottawa Scale. Cross sectional studies and case series are un-ratable, and are labeled NA. Level of evidence determined by Strength of Recommendation Taxonom</w:t>
      </w:r>
      <w:r w:rsidR="00C95CED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(SORT). </w:t>
      </w:r>
      <w:r w:rsidR="00FB43F2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Frequently used abbreviations in this table include Sports related c</w:t>
      </w:r>
      <w:r w:rsidR="00C95CED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oncussion (SRC), </w:t>
      </w:r>
      <w:r w:rsidR="00FB43F2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Post injury day (PID)</w:t>
      </w:r>
      <w:r w:rsidR="00C95CED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, and Post Concussion Syndrome (PCS)</w:t>
      </w:r>
      <w:r w:rsidR="00FB43F2" w:rsidRPr="007923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9236C" w:rsidRPr="00981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779DA" w:rsidRPr="00981F95" w:rsidSect="00792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6695" w14:textId="77777777" w:rsidR="00453ABB" w:rsidRDefault="00453ABB" w:rsidP="00174B51">
      <w:pPr>
        <w:spacing w:line="240" w:lineRule="auto"/>
      </w:pPr>
      <w:r>
        <w:separator/>
      </w:r>
    </w:p>
  </w:endnote>
  <w:endnote w:type="continuationSeparator" w:id="0">
    <w:p w14:paraId="5746BC8E" w14:textId="77777777" w:rsidR="00453ABB" w:rsidRDefault="00453ABB" w:rsidP="0017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C88A" w14:textId="77777777" w:rsidR="00453ABB" w:rsidRDefault="00453ABB" w:rsidP="00174B51">
      <w:pPr>
        <w:spacing w:line="240" w:lineRule="auto"/>
      </w:pPr>
      <w:r>
        <w:separator/>
      </w:r>
    </w:p>
  </w:footnote>
  <w:footnote w:type="continuationSeparator" w:id="0">
    <w:p w14:paraId="4B71AA52" w14:textId="77777777" w:rsidR="00453ABB" w:rsidRDefault="00453ABB" w:rsidP="00174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62E"/>
    <w:multiLevelType w:val="hybridMultilevel"/>
    <w:tmpl w:val="60B4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F7B"/>
    <w:multiLevelType w:val="hybridMultilevel"/>
    <w:tmpl w:val="A3C2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43D"/>
    <w:multiLevelType w:val="hybridMultilevel"/>
    <w:tmpl w:val="8760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EB9"/>
    <w:multiLevelType w:val="hybridMultilevel"/>
    <w:tmpl w:val="32EA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135"/>
    <w:multiLevelType w:val="hybridMultilevel"/>
    <w:tmpl w:val="8D5C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85DBD"/>
    <w:multiLevelType w:val="hybridMultilevel"/>
    <w:tmpl w:val="1AC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4EA2"/>
    <w:multiLevelType w:val="hybridMultilevel"/>
    <w:tmpl w:val="E16C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5014"/>
    <w:multiLevelType w:val="hybridMultilevel"/>
    <w:tmpl w:val="10A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7407"/>
    <w:multiLevelType w:val="hybridMultilevel"/>
    <w:tmpl w:val="74BA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7357"/>
    <w:multiLevelType w:val="hybridMultilevel"/>
    <w:tmpl w:val="E4C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2B38"/>
    <w:multiLevelType w:val="hybridMultilevel"/>
    <w:tmpl w:val="8982ADFE"/>
    <w:lvl w:ilvl="0" w:tplc="991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6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5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E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25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81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65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41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6A1F"/>
    <w:multiLevelType w:val="hybridMultilevel"/>
    <w:tmpl w:val="B454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7068"/>
    <w:multiLevelType w:val="hybridMultilevel"/>
    <w:tmpl w:val="23EC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2D67"/>
    <w:multiLevelType w:val="hybridMultilevel"/>
    <w:tmpl w:val="0024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D4F"/>
    <w:multiLevelType w:val="hybridMultilevel"/>
    <w:tmpl w:val="9788C47A"/>
    <w:lvl w:ilvl="0" w:tplc="1664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A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8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2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C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C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4C5D28"/>
    <w:multiLevelType w:val="hybridMultilevel"/>
    <w:tmpl w:val="EC785622"/>
    <w:lvl w:ilvl="0" w:tplc="A3B86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480"/>
    <w:multiLevelType w:val="hybridMultilevel"/>
    <w:tmpl w:val="452A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24193"/>
    <w:multiLevelType w:val="hybridMultilevel"/>
    <w:tmpl w:val="3B6E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E85"/>
    <w:multiLevelType w:val="hybridMultilevel"/>
    <w:tmpl w:val="2032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F3716"/>
    <w:multiLevelType w:val="hybridMultilevel"/>
    <w:tmpl w:val="1F3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454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71D2"/>
    <w:multiLevelType w:val="hybridMultilevel"/>
    <w:tmpl w:val="B318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1018"/>
    <w:multiLevelType w:val="hybridMultilevel"/>
    <w:tmpl w:val="32EA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6"/>
  </w:num>
  <w:num w:numId="5">
    <w:abstractNumId w:val="16"/>
  </w:num>
  <w:num w:numId="6">
    <w:abstractNumId w:val="4"/>
  </w:num>
  <w:num w:numId="7">
    <w:abstractNumId w:val="7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2"/>
  </w:num>
  <w:num w:numId="19">
    <w:abstractNumId w:val="1"/>
  </w:num>
  <w:num w:numId="20">
    <w:abstractNumId w:val="20"/>
  </w:num>
  <w:num w:numId="21">
    <w:abstractNumId w:val="13"/>
  </w:num>
  <w:num w:numId="22">
    <w:abstractNumId w:val="0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4B"/>
    <w:rsid w:val="00000C95"/>
    <w:rsid w:val="0001542B"/>
    <w:rsid w:val="00030CA9"/>
    <w:rsid w:val="00040162"/>
    <w:rsid w:val="00045B67"/>
    <w:rsid w:val="00050A0D"/>
    <w:rsid w:val="00064FB0"/>
    <w:rsid w:val="00071A00"/>
    <w:rsid w:val="000764D9"/>
    <w:rsid w:val="00080D4B"/>
    <w:rsid w:val="00085EB9"/>
    <w:rsid w:val="00086230"/>
    <w:rsid w:val="00086CF6"/>
    <w:rsid w:val="0009190A"/>
    <w:rsid w:val="00094A17"/>
    <w:rsid w:val="00095056"/>
    <w:rsid w:val="000A7A55"/>
    <w:rsid w:val="000B0BDE"/>
    <w:rsid w:val="000C5CCC"/>
    <w:rsid w:val="000D08DF"/>
    <w:rsid w:val="000D0946"/>
    <w:rsid w:val="000E0DAA"/>
    <w:rsid w:val="000E5F17"/>
    <w:rsid w:val="000E6D6E"/>
    <w:rsid w:val="000E76CC"/>
    <w:rsid w:val="000F24E9"/>
    <w:rsid w:val="00101F11"/>
    <w:rsid w:val="001026FB"/>
    <w:rsid w:val="001150B2"/>
    <w:rsid w:val="00117DE7"/>
    <w:rsid w:val="00120EBA"/>
    <w:rsid w:val="00121225"/>
    <w:rsid w:val="00130FE9"/>
    <w:rsid w:val="00132A3C"/>
    <w:rsid w:val="00133C44"/>
    <w:rsid w:val="00134C32"/>
    <w:rsid w:val="00137E6C"/>
    <w:rsid w:val="00144373"/>
    <w:rsid w:val="00154024"/>
    <w:rsid w:val="00154640"/>
    <w:rsid w:val="00171CB9"/>
    <w:rsid w:val="00174B51"/>
    <w:rsid w:val="00184818"/>
    <w:rsid w:val="001876C1"/>
    <w:rsid w:val="00196CE3"/>
    <w:rsid w:val="00197BDD"/>
    <w:rsid w:val="001A085E"/>
    <w:rsid w:val="001A58E6"/>
    <w:rsid w:val="001C0DB7"/>
    <w:rsid w:val="001C35A7"/>
    <w:rsid w:val="001C7964"/>
    <w:rsid w:val="001D6FB4"/>
    <w:rsid w:val="001F14A9"/>
    <w:rsid w:val="001F3213"/>
    <w:rsid w:val="001F3411"/>
    <w:rsid w:val="001F36C8"/>
    <w:rsid w:val="001F40C6"/>
    <w:rsid w:val="001F5A09"/>
    <w:rsid w:val="001F6015"/>
    <w:rsid w:val="001F62AA"/>
    <w:rsid w:val="001F726D"/>
    <w:rsid w:val="00200049"/>
    <w:rsid w:val="00202C90"/>
    <w:rsid w:val="002134A1"/>
    <w:rsid w:val="00223538"/>
    <w:rsid w:val="0022641E"/>
    <w:rsid w:val="00230413"/>
    <w:rsid w:val="00232CC1"/>
    <w:rsid w:val="002330A8"/>
    <w:rsid w:val="002400D3"/>
    <w:rsid w:val="00251530"/>
    <w:rsid w:val="00261177"/>
    <w:rsid w:val="00267E58"/>
    <w:rsid w:val="0027335E"/>
    <w:rsid w:val="002A061C"/>
    <w:rsid w:val="002A0684"/>
    <w:rsid w:val="002A3B6E"/>
    <w:rsid w:val="002B00DC"/>
    <w:rsid w:val="002B470F"/>
    <w:rsid w:val="002B6E7A"/>
    <w:rsid w:val="002C241E"/>
    <w:rsid w:val="002D0E50"/>
    <w:rsid w:val="002D245B"/>
    <w:rsid w:val="002D739D"/>
    <w:rsid w:val="002E2B84"/>
    <w:rsid w:val="002E3902"/>
    <w:rsid w:val="002F0207"/>
    <w:rsid w:val="003111B6"/>
    <w:rsid w:val="00323EEC"/>
    <w:rsid w:val="00324584"/>
    <w:rsid w:val="003344A1"/>
    <w:rsid w:val="00337DAC"/>
    <w:rsid w:val="00340234"/>
    <w:rsid w:val="003404CB"/>
    <w:rsid w:val="00343B78"/>
    <w:rsid w:val="00346253"/>
    <w:rsid w:val="00352521"/>
    <w:rsid w:val="00354168"/>
    <w:rsid w:val="0035419B"/>
    <w:rsid w:val="00357EB6"/>
    <w:rsid w:val="00360038"/>
    <w:rsid w:val="00367110"/>
    <w:rsid w:val="003779DA"/>
    <w:rsid w:val="00380B77"/>
    <w:rsid w:val="00391C7B"/>
    <w:rsid w:val="003A2DA8"/>
    <w:rsid w:val="003A3251"/>
    <w:rsid w:val="003A3766"/>
    <w:rsid w:val="003C07CA"/>
    <w:rsid w:val="003C12A4"/>
    <w:rsid w:val="003C4139"/>
    <w:rsid w:val="003D1379"/>
    <w:rsid w:val="003D195A"/>
    <w:rsid w:val="003D3CFE"/>
    <w:rsid w:val="003D7F4D"/>
    <w:rsid w:val="003E7657"/>
    <w:rsid w:val="004034D6"/>
    <w:rsid w:val="004118AC"/>
    <w:rsid w:val="00416EEC"/>
    <w:rsid w:val="00437B60"/>
    <w:rsid w:val="00451155"/>
    <w:rsid w:val="00453ABB"/>
    <w:rsid w:val="00456595"/>
    <w:rsid w:val="00465E8C"/>
    <w:rsid w:val="00471C95"/>
    <w:rsid w:val="00472D9A"/>
    <w:rsid w:val="00473692"/>
    <w:rsid w:val="00487855"/>
    <w:rsid w:val="0049122C"/>
    <w:rsid w:val="00491585"/>
    <w:rsid w:val="00494CE6"/>
    <w:rsid w:val="004B1686"/>
    <w:rsid w:val="004C6AF3"/>
    <w:rsid w:val="004E570E"/>
    <w:rsid w:val="004E7C08"/>
    <w:rsid w:val="004F6E6B"/>
    <w:rsid w:val="00500A9C"/>
    <w:rsid w:val="0050381B"/>
    <w:rsid w:val="0052724D"/>
    <w:rsid w:val="0052747C"/>
    <w:rsid w:val="005275C8"/>
    <w:rsid w:val="00532652"/>
    <w:rsid w:val="00534608"/>
    <w:rsid w:val="00537DC0"/>
    <w:rsid w:val="00551EA8"/>
    <w:rsid w:val="00557F11"/>
    <w:rsid w:val="005603FF"/>
    <w:rsid w:val="005617F7"/>
    <w:rsid w:val="00561965"/>
    <w:rsid w:val="00561E6E"/>
    <w:rsid w:val="00563440"/>
    <w:rsid w:val="0056485B"/>
    <w:rsid w:val="00577F01"/>
    <w:rsid w:val="005801AB"/>
    <w:rsid w:val="00590142"/>
    <w:rsid w:val="00591CB9"/>
    <w:rsid w:val="0059609B"/>
    <w:rsid w:val="005A1546"/>
    <w:rsid w:val="005A161E"/>
    <w:rsid w:val="005A2E25"/>
    <w:rsid w:val="005A6BBF"/>
    <w:rsid w:val="005B270D"/>
    <w:rsid w:val="005B2A80"/>
    <w:rsid w:val="005C52A2"/>
    <w:rsid w:val="005D7514"/>
    <w:rsid w:val="005F14B2"/>
    <w:rsid w:val="005F77C1"/>
    <w:rsid w:val="00601222"/>
    <w:rsid w:val="00604457"/>
    <w:rsid w:val="00605405"/>
    <w:rsid w:val="0060655E"/>
    <w:rsid w:val="00615571"/>
    <w:rsid w:val="00615B8A"/>
    <w:rsid w:val="00616F5C"/>
    <w:rsid w:val="006246BA"/>
    <w:rsid w:val="006267B4"/>
    <w:rsid w:val="0062719B"/>
    <w:rsid w:val="00634F69"/>
    <w:rsid w:val="00636186"/>
    <w:rsid w:val="00637334"/>
    <w:rsid w:val="00641AA6"/>
    <w:rsid w:val="00642781"/>
    <w:rsid w:val="00652D70"/>
    <w:rsid w:val="0065416A"/>
    <w:rsid w:val="00664FE2"/>
    <w:rsid w:val="00666409"/>
    <w:rsid w:val="006705B9"/>
    <w:rsid w:val="00673899"/>
    <w:rsid w:val="006770ED"/>
    <w:rsid w:val="006772BE"/>
    <w:rsid w:val="0068677D"/>
    <w:rsid w:val="00696CA8"/>
    <w:rsid w:val="006A3CB0"/>
    <w:rsid w:val="006A69BA"/>
    <w:rsid w:val="006B7592"/>
    <w:rsid w:val="006C586D"/>
    <w:rsid w:val="006D0464"/>
    <w:rsid w:val="006D0BF7"/>
    <w:rsid w:val="006D5426"/>
    <w:rsid w:val="006F2000"/>
    <w:rsid w:val="00700994"/>
    <w:rsid w:val="007076AF"/>
    <w:rsid w:val="00716FD4"/>
    <w:rsid w:val="00720957"/>
    <w:rsid w:val="00745323"/>
    <w:rsid w:val="00751C47"/>
    <w:rsid w:val="0076587F"/>
    <w:rsid w:val="00772867"/>
    <w:rsid w:val="00774B2E"/>
    <w:rsid w:val="0077715F"/>
    <w:rsid w:val="00777343"/>
    <w:rsid w:val="0079236C"/>
    <w:rsid w:val="00793037"/>
    <w:rsid w:val="007A37A6"/>
    <w:rsid w:val="007A417A"/>
    <w:rsid w:val="007B0AB5"/>
    <w:rsid w:val="007B4656"/>
    <w:rsid w:val="007D1813"/>
    <w:rsid w:val="007D22E1"/>
    <w:rsid w:val="007D507A"/>
    <w:rsid w:val="007E0838"/>
    <w:rsid w:val="007E265B"/>
    <w:rsid w:val="007E4E1C"/>
    <w:rsid w:val="007E6D79"/>
    <w:rsid w:val="008068AF"/>
    <w:rsid w:val="00823967"/>
    <w:rsid w:val="00840E7C"/>
    <w:rsid w:val="00840ED2"/>
    <w:rsid w:val="008461F1"/>
    <w:rsid w:val="008506F2"/>
    <w:rsid w:val="00862BCF"/>
    <w:rsid w:val="00864BF3"/>
    <w:rsid w:val="0086639B"/>
    <w:rsid w:val="00867866"/>
    <w:rsid w:val="00870225"/>
    <w:rsid w:val="008A5E78"/>
    <w:rsid w:val="008A7C53"/>
    <w:rsid w:val="008B339A"/>
    <w:rsid w:val="008C0B27"/>
    <w:rsid w:val="008E32F7"/>
    <w:rsid w:val="008E750E"/>
    <w:rsid w:val="008F0A6F"/>
    <w:rsid w:val="008F26CD"/>
    <w:rsid w:val="008F48DC"/>
    <w:rsid w:val="00902C80"/>
    <w:rsid w:val="00910048"/>
    <w:rsid w:val="00913B38"/>
    <w:rsid w:val="009173FB"/>
    <w:rsid w:val="0093275E"/>
    <w:rsid w:val="00937D02"/>
    <w:rsid w:val="00940978"/>
    <w:rsid w:val="00941C39"/>
    <w:rsid w:val="00942062"/>
    <w:rsid w:val="0094314E"/>
    <w:rsid w:val="00955150"/>
    <w:rsid w:val="009579A3"/>
    <w:rsid w:val="009806B9"/>
    <w:rsid w:val="00981F95"/>
    <w:rsid w:val="009838BC"/>
    <w:rsid w:val="009B196E"/>
    <w:rsid w:val="009C4F0B"/>
    <w:rsid w:val="009C6493"/>
    <w:rsid w:val="009C736D"/>
    <w:rsid w:val="009D6489"/>
    <w:rsid w:val="009E4355"/>
    <w:rsid w:val="009E6958"/>
    <w:rsid w:val="009F3C0B"/>
    <w:rsid w:val="00A0424E"/>
    <w:rsid w:val="00A167FF"/>
    <w:rsid w:val="00A32B18"/>
    <w:rsid w:val="00A4292B"/>
    <w:rsid w:val="00A60BD6"/>
    <w:rsid w:val="00A67866"/>
    <w:rsid w:val="00A8218B"/>
    <w:rsid w:val="00AA2686"/>
    <w:rsid w:val="00AA4CDE"/>
    <w:rsid w:val="00AA5D3D"/>
    <w:rsid w:val="00AA6F12"/>
    <w:rsid w:val="00AD1B26"/>
    <w:rsid w:val="00AD40E5"/>
    <w:rsid w:val="00AE2326"/>
    <w:rsid w:val="00AE30C2"/>
    <w:rsid w:val="00AE7EDE"/>
    <w:rsid w:val="00AF323A"/>
    <w:rsid w:val="00AF4324"/>
    <w:rsid w:val="00B0305C"/>
    <w:rsid w:val="00B06003"/>
    <w:rsid w:val="00B16AEC"/>
    <w:rsid w:val="00B16D0F"/>
    <w:rsid w:val="00B2577C"/>
    <w:rsid w:val="00B259F8"/>
    <w:rsid w:val="00B25F95"/>
    <w:rsid w:val="00B2666E"/>
    <w:rsid w:val="00B35D3C"/>
    <w:rsid w:val="00B379DA"/>
    <w:rsid w:val="00B40DD3"/>
    <w:rsid w:val="00B453BF"/>
    <w:rsid w:val="00B566E1"/>
    <w:rsid w:val="00B7237A"/>
    <w:rsid w:val="00B86A16"/>
    <w:rsid w:val="00B96D5D"/>
    <w:rsid w:val="00BA157A"/>
    <w:rsid w:val="00BA2545"/>
    <w:rsid w:val="00BA2B1B"/>
    <w:rsid w:val="00BA7550"/>
    <w:rsid w:val="00BB0856"/>
    <w:rsid w:val="00BC04FD"/>
    <w:rsid w:val="00BC569D"/>
    <w:rsid w:val="00BD083E"/>
    <w:rsid w:val="00BD2F33"/>
    <w:rsid w:val="00BD4DD3"/>
    <w:rsid w:val="00BE1428"/>
    <w:rsid w:val="00BE70FA"/>
    <w:rsid w:val="00BE7891"/>
    <w:rsid w:val="00BF01D9"/>
    <w:rsid w:val="00C051D0"/>
    <w:rsid w:val="00C1426A"/>
    <w:rsid w:val="00C17764"/>
    <w:rsid w:val="00C17D20"/>
    <w:rsid w:val="00C221AD"/>
    <w:rsid w:val="00C22D68"/>
    <w:rsid w:val="00C23872"/>
    <w:rsid w:val="00C254BD"/>
    <w:rsid w:val="00C3156A"/>
    <w:rsid w:val="00C37B71"/>
    <w:rsid w:val="00C4006A"/>
    <w:rsid w:val="00C4370D"/>
    <w:rsid w:val="00C43EFF"/>
    <w:rsid w:val="00C511DB"/>
    <w:rsid w:val="00C51930"/>
    <w:rsid w:val="00C62A0B"/>
    <w:rsid w:val="00C67A51"/>
    <w:rsid w:val="00C722DF"/>
    <w:rsid w:val="00C72B7B"/>
    <w:rsid w:val="00C733B8"/>
    <w:rsid w:val="00C80434"/>
    <w:rsid w:val="00C94AAD"/>
    <w:rsid w:val="00C95AA0"/>
    <w:rsid w:val="00C95CED"/>
    <w:rsid w:val="00C97EB7"/>
    <w:rsid w:val="00CA31D3"/>
    <w:rsid w:val="00CA3801"/>
    <w:rsid w:val="00CA3D12"/>
    <w:rsid w:val="00CA4797"/>
    <w:rsid w:val="00CA56E3"/>
    <w:rsid w:val="00CB0C1B"/>
    <w:rsid w:val="00CC1DAE"/>
    <w:rsid w:val="00CC4676"/>
    <w:rsid w:val="00CD6944"/>
    <w:rsid w:val="00CE1542"/>
    <w:rsid w:val="00CE1DCC"/>
    <w:rsid w:val="00CE51C4"/>
    <w:rsid w:val="00CF34A0"/>
    <w:rsid w:val="00CF6206"/>
    <w:rsid w:val="00D02FAA"/>
    <w:rsid w:val="00D07ECC"/>
    <w:rsid w:val="00D13FC0"/>
    <w:rsid w:val="00D15E56"/>
    <w:rsid w:val="00D228E9"/>
    <w:rsid w:val="00D25856"/>
    <w:rsid w:val="00D36BAB"/>
    <w:rsid w:val="00D47342"/>
    <w:rsid w:val="00D511A7"/>
    <w:rsid w:val="00D573DC"/>
    <w:rsid w:val="00D75E7B"/>
    <w:rsid w:val="00D90347"/>
    <w:rsid w:val="00D940AB"/>
    <w:rsid w:val="00DA088A"/>
    <w:rsid w:val="00DA487F"/>
    <w:rsid w:val="00DB1985"/>
    <w:rsid w:val="00DB7C8A"/>
    <w:rsid w:val="00DB7D5D"/>
    <w:rsid w:val="00DC0D6C"/>
    <w:rsid w:val="00DC7549"/>
    <w:rsid w:val="00DD1CC7"/>
    <w:rsid w:val="00DD5D5C"/>
    <w:rsid w:val="00DE528C"/>
    <w:rsid w:val="00DE77E1"/>
    <w:rsid w:val="00DF33EC"/>
    <w:rsid w:val="00DF5829"/>
    <w:rsid w:val="00E02446"/>
    <w:rsid w:val="00E05C57"/>
    <w:rsid w:val="00E07097"/>
    <w:rsid w:val="00E141A5"/>
    <w:rsid w:val="00E20BB4"/>
    <w:rsid w:val="00E2703F"/>
    <w:rsid w:val="00E31857"/>
    <w:rsid w:val="00E32952"/>
    <w:rsid w:val="00E47B0C"/>
    <w:rsid w:val="00E504C4"/>
    <w:rsid w:val="00E553FF"/>
    <w:rsid w:val="00E56F51"/>
    <w:rsid w:val="00E70632"/>
    <w:rsid w:val="00E739B6"/>
    <w:rsid w:val="00E77F49"/>
    <w:rsid w:val="00E82409"/>
    <w:rsid w:val="00E90054"/>
    <w:rsid w:val="00E925BE"/>
    <w:rsid w:val="00E93AC6"/>
    <w:rsid w:val="00E96C0C"/>
    <w:rsid w:val="00EA74DA"/>
    <w:rsid w:val="00EB0611"/>
    <w:rsid w:val="00EB1F85"/>
    <w:rsid w:val="00EB2A04"/>
    <w:rsid w:val="00EB430F"/>
    <w:rsid w:val="00ED0B35"/>
    <w:rsid w:val="00ED3573"/>
    <w:rsid w:val="00ED41C7"/>
    <w:rsid w:val="00ED43E6"/>
    <w:rsid w:val="00F007E2"/>
    <w:rsid w:val="00F01615"/>
    <w:rsid w:val="00F121D3"/>
    <w:rsid w:val="00F17ABD"/>
    <w:rsid w:val="00F21DA5"/>
    <w:rsid w:val="00F240ED"/>
    <w:rsid w:val="00F26E47"/>
    <w:rsid w:val="00F324EA"/>
    <w:rsid w:val="00F44E59"/>
    <w:rsid w:val="00F45B0C"/>
    <w:rsid w:val="00F55FBB"/>
    <w:rsid w:val="00F7352B"/>
    <w:rsid w:val="00F73F80"/>
    <w:rsid w:val="00F77D75"/>
    <w:rsid w:val="00F81E3B"/>
    <w:rsid w:val="00F9507F"/>
    <w:rsid w:val="00F95503"/>
    <w:rsid w:val="00F97093"/>
    <w:rsid w:val="00FA1146"/>
    <w:rsid w:val="00FB43F2"/>
    <w:rsid w:val="00FC18B1"/>
    <w:rsid w:val="00FC2197"/>
    <w:rsid w:val="00FC45D7"/>
    <w:rsid w:val="00FC5C38"/>
    <w:rsid w:val="00FD323D"/>
    <w:rsid w:val="00FE3E0A"/>
    <w:rsid w:val="00FF05FF"/>
    <w:rsid w:val="00FF2D19"/>
    <w:rsid w:val="00FF3D60"/>
    <w:rsid w:val="074B3F39"/>
    <w:rsid w:val="1AA3318A"/>
    <w:rsid w:val="1B80F34E"/>
    <w:rsid w:val="26840CD6"/>
    <w:rsid w:val="2A1AFAD9"/>
    <w:rsid w:val="32C729C0"/>
    <w:rsid w:val="35A0F432"/>
    <w:rsid w:val="3C83C01C"/>
    <w:rsid w:val="4019B200"/>
    <w:rsid w:val="4A93D76B"/>
    <w:rsid w:val="4D327CE5"/>
    <w:rsid w:val="4D7D3192"/>
    <w:rsid w:val="4F8853D1"/>
    <w:rsid w:val="531A99EC"/>
    <w:rsid w:val="55FF3176"/>
    <w:rsid w:val="57307F1F"/>
    <w:rsid w:val="7182DA5A"/>
    <w:rsid w:val="73FF3164"/>
    <w:rsid w:val="742AB5DD"/>
    <w:rsid w:val="7B4E0AC4"/>
    <w:rsid w:val="7C89E45E"/>
    <w:rsid w:val="7F5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E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4B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80D4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80D4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80D4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80D4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80D4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80D4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4B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80D4B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80D4B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80D4B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0D4B"/>
    <w:rPr>
      <w:rFonts w:ascii="Arial" w:eastAsia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080D4B"/>
    <w:rPr>
      <w:rFonts w:ascii="Arial" w:eastAsia="Arial" w:hAnsi="Arial" w:cs="Arial"/>
      <w:b/>
      <w:bCs/>
      <w:color w:val="000000"/>
      <w:sz w:val="20"/>
      <w:szCs w:val="20"/>
    </w:rPr>
  </w:style>
  <w:style w:type="character" w:styleId="CommentReference">
    <w:name w:val="annotation reference"/>
    <w:uiPriority w:val="99"/>
    <w:rsid w:val="00080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D4B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80D4B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8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D4B"/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080D4B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rsid w:val="00080D4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80D4B"/>
    <w:rPr>
      <w:rFonts w:ascii="Tahoma" w:eastAsia="Arial" w:hAnsi="Tahoma" w:cs="Times New Roman"/>
      <w:color w:val="000000"/>
      <w:sz w:val="16"/>
      <w:szCs w:val="16"/>
      <w:lang w:val="x-none" w:eastAsia="x-none"/>
    </w:rPr>
  </w:style>
  <w:style w:type="character" w:styleId="LineNumber">
    <w:name w:val="line number"/>
    <w:rsid w:val="00080D4B"/>
  </w:style>
  <w:style w:type="paragraph" w:styleId="Header">
    <w:name w:val="header"/>
    <w:basedOn w:val="Normal"/>
    <w:link w:val="HeaderChar"/>
    <w:uiPriority w:val="99"/>
    <w:rsid w:val="00080D4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0D4B"/>
    <w:rPr>
      <w:rFonts w:ascii="Arial" w:eastAsia="Arial" w:hAnsi="Arial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rsid w:val="00080D4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80D4B"/>
    <w:rPr>
      <w:rFonts w:ascii="Arial" w:eastAsia="Arial" w:hAnsi="Arial" w:cs="Times New Roman"/>
      <w:color w:val="000000"/>
      <w:lang w:val="x-none" w:eastAsia="x-none"/>
    </w:rPr>
  </w:style>
  <w:style w:type="paragraph" w:customStyle="1" w:styleId="ColorfulShading-Accent12">
    <w:name w:val="Colorful Shading - Accent 12"/>
    <w:hidden/>
    <w:uiPriority w:val="99"/>
    <w:semiHidden/>
    <w:rsid w:val="00080D4B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080D4B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DocumentMap">
    <w:name w:val="Document Map"/>
    <w:basedOn w:val="Normal"/>
    <w:link w:val="DocumentMapChar"/>
    <w:rsid w:val="00080D4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080D4B"/>
    <w:rPr>
      <w:rFonts w:ascii="Tahoma" w:eastAsia="Arial" w:hAnsi="Tahoma" w:cs="Times New Roman"/>
      <w:color w:val="000000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80D4B"/>
    <w:pPr>
      <w:ind w:left="720"/>
      <w:contextualSpacing/>
    </w:pPr>
  </w:style>
  <w:style w:type="character" w:customStyle="1" w:styleId="apple-converted-space">
    <w:name w:val="apple-converted-space"/>
    <w:rsid w:val="00080D4B"/>
  </w:style>
  <w:style w:type="character" w:styleId="Emphasis">
    <w:name w:val="Emphasis"/>
    <w:uiPriority w:val="20"/>
    <w:qFormat/>
    <w:rsid w:val="00080D4B"/>
    <w:rPr>
      <w:i/>
      <w:iCs/>
    </w:rPr>
  </w:style>
  <w:style w:type="character" w:styleId="Hyperlink">
    <w:name w:val="Hyperlink"/>
    <w:uiPriority w:val="99"/>
    <w:unhideWhenUsed/>
    <w:rsid w:val="00080D4B"/>
    <w:rPr>
      <w:color w:val="0000FF"/>
      <w:u w:val="single"/>
    </w:rPr>
  </w:style>
  <w:style w:type="paragraph" w:styleId="NoSpacing">
    <w:name w:val="No Spacing"/>
    <w:uiPriority w:val="1"/>
    <w:qFormat/>
    <w:rsid w:val="00080D4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80D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0D4B"/>
    <w:pPr>
      <w:pBdr>
        <w:bottom w:val="single" w:sz="6" w:space="1" w:color="auto"/>
      </w:pBdr>
      <w:spacing w:line="240" w:lineRule="auto"/>
      <w:jc w:val="center"/>
    </w:pPr>
    <w:rPr>
      <w:rFonts w:eastAsia="Times New Roman" w:cs="Times New Roman"/>
      <w:vanish/>
      <w:color w:val="auto"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80D4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0D4B"/>
    <w:pPr>
      <w:pBdr>
        <w:top w:val="single" w:sz="6" w:space="1" w:color="auto"/>
      </w:pBdr>
      <w:spacing w:line="240" w:lineRule="auto"/>
      <w:jc w:val="center"/>
    </w:pPr>
    <w:rPr>
      <w:rFonts w:eastAsia="Times New Roman" w:cs="Times New Roman"/>
      <w:vanish/>
      <w:color w:val="auto"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0D4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highlight">
    <w:name w:val="highlight"/>
    <w:basedOn w:val="DefaultParagraphFont"/>
    <w:rsid w:val="00864BF3"/>
  </w:style>
  <w:style w:type="table" w:styleId="TableGrid">
    <w:name w:val="Table Grid"/>
    <w:basedOn w:val="TableNormal"/>
    <w:uiPriority w:val="59"/>
    <w:rsid w:val="00E5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0946"/>
    <w:rPr>
      <w:color w:val="954F72"/>
      <w:u w:val="single"/>
    </w:rPr>
  </w:style>
  <w:style w:type="paragraph" w:customStyle="1" w:styleId="font0">
    <w:name w:val="font0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6">
    <w:name w:val="font6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7">
    <w:name w:val="font7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9">
    <w:name w:val="font9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10">
    <w:name w:val="font10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11">
    <w:name w:val="font11"/>
    <w:basedOn w:val="Normal"/>
    <w:rsid w:val="000D09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5">
    <w:name w:val="xl65"/>
    <w:basedOn w:val="Normal"/>
    <w:rsid w:val="000D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0D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0D0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0D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0D09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0D0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0D09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rsid w:val="000D09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0D09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0D09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0D09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0D09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0D09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1">
    <w:name w:val="xl91"/>
    <w:basedOn w:val="Normal"/>
    <w:rsid w:val="000D09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0D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0D09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0D09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6">
    <w:name w:val="xl96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7">
    <w:name w:val="xl97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8">
    <w:name w:val="xl98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9">
    <w:name w:val="xl99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0">
    <w:name w:val="xl100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1">
    <w:name w:val="xl101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2">
    <w:name w:val="xl102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3">
    <w:name w:val="xl103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4">
    <w:name w:val="xl104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5">
    <w:name w:val="xl105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6">
    <w:name w:val="xl106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7">
    <w:name w:val="xl107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0">
    <w:name w:val="xl110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4">
    <w:name w:val="xl114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9">
    <w:name w:val="xl119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1">
    <w:name w:val="xl121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3">
    <w:name w:val="xl123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5">
    <w:name w:val="xl125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7">
    <w:name w:val="xl127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9">
    <w:name w:val="xl129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6">
    <w:name w:val="xl136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40">
    <w:name w:val="xl140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42">
    <w:name w:val="xl142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"/>
    <w:rsid w:val="000D09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48">
    <w:name w:val="xl148"/>
    <w:basedOn w:val="Normal"/>
    <w:rsid w:val="000D09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49">
    <w:name w:val="xl149"/>
    <w:basedOn w:val="Normal"/>
    <w:rsid w:val="000D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0">
    <w:name w:val="xl150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2">
    <w:name w:val="xl152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3">
    <w:name w:val="xl153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4">
    <w:name w:val="xl154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5">
    <w:name w:val="xl155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0D09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7">
    <w:name w:val="xl157"/>
    <w:basedOn w:val="Normal"/>
    <w:rsid w:val="000D0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8">
    <w:name w:val="xl158"/>
    <w:basedOn w:val="Normal"/>
    <w:rsid w:val="000D09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59">
    <w:name w:val="xl159"/>
    <w:basedOn w:val="Normal"/>
    <w:rsid w:val="000D0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0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680A-6AB5-47D4-A456-50E57768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Cox</dc:creator>
  <cp:lastModifiedBy>Giza, Christopher</cp:lastModifiedBy>
  <cp:revision>4</cp:revision>
  <cp:lastPrinted>2013-01-31T15:54:00Z</cp:lastPrinted>
  <dcterms:created xsi:type="dcterms:W3CDTF">2017-03-10T23:22:00Z</dcterms:created>
  <dcterms:modified xsi:type="dcterms:W3CDTF">2017-04-11T03:11:00Z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bee980bb-be0d-337b-93dd-66346ffec81d</vt:lpwstr>
  </property>
  <property fmtid="{D5CDD505-2E9C-101B-9397-08002B2CF9AE}" pid="25" name="Mendeley User Name_1">
    <vt:lpwstr>jkamins@mednet.ucla.edu@www.mendeley.com</vt:lpwstr>
  </property>
</Properties>
</file>