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CF60" w14:textId="6F6A1BF9" w:rsidR="002444A6" w:rsidRPr="00E775B4" w:rsidRDefault="002444A6" w:rsidP="002444A6">
      <w:pPr>
        <w:spacing w:after="0" w:line="240" w:lineRule="auto"/>
        <w:rPr>
          <w:rFonts w:eastAsia="Cambria" w:cs="Times New Roman"/>
          <w:sz w:val="20"/>
          <w:szCs w:val="20"/>
        </w:rPr>
      </w:pPr>
      <w:r w:rsidRPr="00E775B4">
        <w:rPr>
          <w:rFonts w:eastAsia="Cambria" w:cs="Times New Roman"/>
          <w:sz w:val="20"/>
          <w:szCs w:val="20"/>
        </w:rPr>
        <w:t xml:space="preserve">Supplementary material 2. Risk of bias scale obtained from </w:t>
      </w:r>
      <w:proofErr w:type="spellStart"/>
      <w:r w:rsidRPr="00E775B4">
        <w:rPr>
          <w:rFonts w:eastAsia="Cambria" w:cs="Times New Roman"/>
          <w:sz w:val="20"/>
          <w:szCs w:val="20"/>
        </w:rPr>
        <w:t>Kmet</w:t>
      </w:r>
      <w:proofErr w:type="spellEnd"/>
      <w:r w:rsidRPr="00E775B4">
        <w:rPr>
          <w:rFonts w:eastAsia="Cambria" w:cs="Times New Roman"/>
          <w:sz w:val="20"/>
          <w:szCs w:val="20"/>
        </w:rPr>
        <w:t xml:space="preserve"> e</w:t>
      </w:r>
      <w:r w:rsidR="002B5983" w:rsidRPr="00E775B4">
        <w:rPr>
          <w:rFonts w:eastAsia="Cambria" w:cs="Times New Roman"/>
          <w:sz w:val="20"/>
          <w:szCs w:val="20"/>
        </w:rPr>
        <w:t>t</w:t>
      </w:r>
      <w:r w:rsidR="00172BC4" w:rsidRPr="00E775B4">
        <w:rPr>
          <w:rFonts w:eastAsia="Cambria" w:cs="Times New Roman"/>
          <w:sz w:val="20"/>
          <w:szCs w:val="20"/>
        </w:rPr>
        <w:t xml:space="preserve"> </w:t>
      </w:r>
      <w:r w:rsidRPr="00E775B4">
        <w:rPr>
          <w:rFonts w:eastAsia="Cambria" w:cs="Times New Roman"/>
          <w:sz w:val="20"/>
          <w:szCs w:val="20"/>
        </w:rPr>
        <w:t>a</w:t>
      </w:r>
      <w:r w:rsidR="002B5983" w:rsidRPr="00E775B4">
        <w:rPr>
          <w:rFonts w:eastAsia="Cambria" w:cs="Times New Roman"/>
          <w:sz w:val="20"/>
          <w:szCs w:val="20"/>
        </w:rPr>
        <w:t>l</w:t>
      </w:r>
      <w:r w:rsidRPr="00E775B4">
        <w:rPr>
          <w:rFonts w:eastAsia="Cambria" w:cs="Times New Roman"/>
          <w:sz w:val="20"/>
          <w:szCs w:val="20"/>
        </w:rPr>
        <w:t>. (2004)</w:t>
      </w:r>
      <w:bookmarkStart w:id="0" w:name="_GoBack"/>
      <w:bookmarkEnd w:id="0"/>
    </w:p>
    <w:p w14:paraId="6A917362" w14:textId="77777777" w:rsidR="00172BC4" w:rsidRPr="00172BC4" w:rsidRDefault="00172BC4" w:rsidP="002444A6">
      <w:pPr>
        <w:spacing w:after="0" w:line="240" w:lineRule="auto"/>
        <w:rPr>
          <w:rFonts w:eastAsia="Cambria" w:cs="Times New Roman"/>
          <w:sz w:val="20"/>
          <w:szCs w:val="20"/>
        </w:rPr>
      </w:pP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561"/>
        <w:gridCol w:w="10723"/>
        <w:gridCol w:w="711"/>
        <w:gridCol w:w="978"/>
        <w:gridCol w:w="665"/>
        <w:gridCol w:w="580"/>
      </w:tblGrid>
      <w:tr w:rsidR="002444A6" w:rsidRPr="005A5686" w14:paraId="01D7E9A7" w14:textId="77777777" w:rsidTr="00E04440">
        <w:tc>
          <w:tcPr>
            <w:tcW w:w="197" w:type="pct"/>
          </w:tcPr>
          <w:p w14:paraId="69046AD0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771" w:type="pct"/>
          </w:tcPr>
          <w:p w14:paraId="6982A33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Criteria</w:t>
            </w:r>
          </w:p>
        </w:tc>
        <w:tc>
          <w:tcPr>
            <w:tcW w:w="250" w:type="pct"/>
          </w:tcPr>
          <w:p w14:paraId="53BBBC1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Yes (2)</w:t>
            </w:r>
          </w:p>
        </w:tc>
        <w:tc>
          <w:tcPr>
            <w:tcW w:w="344" w:type="pct"/>
          </w:tcPr>
          <w:p w14:paraId="642C5D2E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Partial (1)</w:t>
            </w:r>
          </w:p>
        </w:tc>
        <w:tc>
          <w:tcPr>
            <w:tcW w:w="234" w:type="pct"/>
          </w:tcPr>
          <w:p w14:paraId="14FF93D7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No (0)</w:t>
            </w:r>
          </w:p>
        </w:tc>
        <w:tc>
          <w:tcPr>
            <w:tcW w:w="204" w:type="pct"/>
          </w:tcPr>
          <w:p w14:paraId="2BD768B0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N/A</w:t>
            </w:r>
          </w:p>
        </w:tc>
      </w:tr>
      <w:tr w:rsidR="002444A6" w:rsidRPr="005A5686" w14:paraId="74E260A4" w14:textId="77777777" w:rsidTr="00E04440">
        <w:tc>
          <w:tcPr>
            <w:tcW w:w="197" w:type="pct"/>
          </w:tcPr>
          <w:p w14:paraId="532B6A9B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3771" w:type="pct"/>
          </w:tcPr>
          <w:p w14:paraId="43A5AC54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Question / objective sufficiently described?</w:t>
            </w:r>
          </w:p>
        </w:tc>
        <w:tc>
          <w:tcPr>
            <w:tcW w:w="250" w:type="pct"/>
          </w:tcPr>
          <w:p w14:paraId="45D0F23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7BE866A4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1DB692C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808080" w:themeFill="background1" w:themeFillShade="80"/>
          </w:tcPr>
          <w:p w14:paraId="002A6146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1BAFAAFE" w14:textId="77777777" w:rsidTr="00E04440">
        <w:tc>
          <w:tcPr>
            <w:tcW w:w="197" w:type="pct"/>
          </w:tcPr>
          <w:p w14:paraId="2BA265D9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3771" w:type="pct"/>
          </w:tcPr>
          <w:p w14:paraId="1029F7D9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Study design evident and appropriate?</w:t>
            </w:r>
          </w:p>
        </w:tc>
        <w:tc>
          <w:tcPr>
            <w:tcW w:w="250" w:type="pct"/>
          </w:tcPr>
          <w:p w14:paraId="3515F448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26494DB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6536497A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808080" w:themeFill="background1" w:themeFillShade="80"/>
          </w:tcPr>
          <w:p w14:paraId="6EADC6C7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4BAF4C0B" w14:textId="77777777" w:rsidTr="00E04440">
        <w:tc>
          <w:tcPr>
            <w:tcW w:w="197" w:type="pct"/>
          </w:tcPr>
          <w:p w14:paraId="3D3F9EED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3771" w:type="pct"/>
          </w:tcPr>
          <w:p w14:paraId="4CC0BCF8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 xml:space="preserve">Method of subject/comparison group selection </w:t>
            </w:r>
            <w:r w:rsidRPr="00172BC4">
              <w:rPr>
                <w:rFonts w:eastAsia="MS Mincho" w:cs="QuadraatSansCon-Italic"/>
                <w:i/>
                <w:iCs/>
                <w:color w:val="241E1F"/>
                <w:sz w:val="20"/>
                <w:szCs w:val="20"/>
                <w:lang w:eastAsia="en-AU"/>
              </w:rPr>
              <w:t xml:space="preserve">or </w:t>
            </w: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source of information/input variables described and appropriate?</w:t>
            </w:r>
          </w:p>
        </w:tc>
        <w:tc>
          <w:tcPr>
            <w:tcW w:w="250" w:type="pct"/>
          </w:tcPr>
          <w:p w14:paraId="191E4BE4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3A521C7B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7B1B6C6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661B985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4962A059" w14:textId="77777777" w:rsidTr="00E04440">
        <w:tc>
          <w:tcPr>
            <w:tcW w:w="197" w:type="pct"/>
          </w:tcPr>
          <w:p w14:paraId="1F051C10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4.</w:t>
            </w:r>
          </w:p>
        </w:tc>
        <w:tc>
          <w:tcPr>
            <w:tcW w:w="3771" w:type="pct"/>
          </w:tcPr>
          <w:p w14:paraId="22125207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Subject (and comparison group, if applicable) characteristics sufficiently described?</w:t>
            </w:r>
          </w:p>
        </w:tc>
        <w:tc>
          <w:tcPr>
            <w:tcW w:w="250" w:type="pct"/>
          </w:tcPr>
          <w:p w14:paraId="33E1A392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724CE76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0B55A885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808080" w:themeFill="background1" w:themeFillShade="80"/>
          </w:tcPr>
          <w:p w14:paraId="702EAAF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73349209" w14:textId="77777777" w:rsidTr="00E04440">
        <w:tc>
          <w:tcPr>
            <w:tcW w:w="197" w:type="pct"/>
          </w:tcPr>
          <w:p w14:paraId="67AE5AA9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5a.</w:t>
            </w:r>
          </w:p>
        </w:tc>
        <w:tc>
          <w:tcPr>
            <w:tcW w:w="3771" w:type="pct"/>
          </w:tcPr>
          <w:p w14:paraId="26D8E78D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Exposure measure(s) well defined and robust to measurement / misclassification bias? Means of assessment reported?</w:t>
            </w:r>
          </w:p>
        </w:tc>
        <w:tc>
          <w:tcPr>
            <w:tcW w:w="250" w:type="pct"/>
          </w:tcPr>
          <w:p w14:paraId="6A37E41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7D3708D8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435B3E47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1E7114B8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4AA3AA1E" w14:textId="77777777" w:rsidTr="00E04440">
        <w:tc>
          <w:tcPr>
            <w:tcW w:w="197" w:type="pct"/>
          </w:tcPr>
          <w:p w14:paraId="42D35024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5b.</w:t>
            </w:r>
          </w:p>
        </w:tc>
        <w:tc>
          <w:tcPr>
            <w:tcW w:w="3771" w:type="pct"/>
          </w:tcPr>
          <w:p w14:paraId="3FB64C12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Outcome measure(s) well defined and robust to measurement / misclassification bias? Means of assessment reported?</w:t>
            </w:r>
          </w:p>
        </w:tc>
        <w:tc>
          <w:tcPr>
            <w:tcW w:w="250" w:type="pct"/>
          </w:tcPr>
          <w:p w14:paraId="4F9123F5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0E1D4A8B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14C1767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5CEB5188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05504EA8" w14:textId="77777777" w:rsidTr="00E04440">
        <w:tc>
          <w:tcPr>
            <w:tcW w:w="197" w:type="pct"/>
          </w:tcPr>
          <w:p w14:paraId="03C22754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6.</w:t>
            </w:r>
          </w:p>
        </w:tc>
        <w:tc>
          <w:tcPr>
            <w:tcW w:w="3771" w:type="pct"/>
          </w:tcPr>
          <w:p w14:paraId="4A6B809B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Sample size appropriate?</w:t>
            </w:r>
          </w:p>
        </w:tc>
        <w:tc>
          <w:tcPr>
            <w:tcW w:w="250" w:type="pct"/>
          </w:tcPr>
          <w:p w14:paraId="193191E7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1DB70B5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123B83FE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10436A4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03777EB3" w14:textId="77777777" w:rsidTr="00E04440">
        <w:tc>
          <w:tcPr>
            <w:tcW w:w="197" w:type="pct"/>
          </w:tcPr>
          <w:p w14:paraId="74E62CFD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Cambria" w:cs="Times New Roman"/>
                <w:sz w:val="20"/>
                <w:szCs w:val="20"/>
              </w:rPr>
              <w:t>7.</w:t>
            </w:r>
          </w:p>
        </w:tc>
        <w:tc>
          <w:tcPr>
            <w:tcW w:w="3771" w:type="pct"/>
          </w:tcPr>
          <w:p w14:paraId="3D58DB5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Analytic methods described/justified and appropriate?</w:t>
            </w:r>
          </w:p>
        </w:tc>
        <w:tc>
          <w:tcPr>
            <w:tcW w:w="250" w:type="pct"/>
          </w:tcPr>
          <w:p w14:paraId="14E2CAE8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5B8EF242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15F0AED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4D71027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0EB4726B" w14:textId="77777777" w:rsidTr="00E04440">
        <w:tc>
          <w:tcPr>
            <w:tcW w:w="197" w:type="pct"/>
          </w:tcPr>
          <w:p w14:paraId="1A443DBF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8.</w:t>
            </w:r>
          </w:p>
        </w:tc>
        <w:tc>
          <w:tcPr>
            <w:tcW w:w="3771" w:type="pct"/>
          </w:tcPr>
          <w:p w14:paraId="47017C0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Some estimate of variance is reported for the main results?</w:t>
            </w:r>
          </w:p>
        </w:tc>
        <w:tc>
          <w:tcPr>
            <w:tcW w:w="250" w:type="pct"/>
          </w:tcPr>
          <w:p w14:paraId="1EFF5EB3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45E0CA2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5BB8EF52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60C207D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10910D0D" w14:textId="77777777" w:rsidTr="00E04440">
        <w:tc>
          <w:tcPr>
            <w:tcW w:w="197" w:type="pct"/>
          </w:tcPr>
          <w:p w14:paraId="3B963123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9.</w:t>
            </w:r>
          </w:p>
        </w:tc>
        <w:tc>
          <w:tcPr>
            <w:tcW w:w="3771" w:type="pct"/>
          </w:tcPr>
          <w:p w14:paraId="0BE7E362" w14:textId="2CBB868C" w:rsidR="002444A6" w:rsidRPr="00172BC4" w:rsidRDefault="002444A6" w:rsidP="00172BC4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Sufficiently</w:t>
            </w:r>
            <w:r w:rsidR="00172BC4" w:rsidRPr="002E2236">
              <w:rPr>
                <w:rFonts w:eastAsia="MS Mincho" w:cs="QuadraatSansCon-Regular"/>
                <w:color w:val="241E1F"/>
                <w:sz w:val="20"/>
                <w:szCs w:val="20"/>
                <w:vertAlign w:val="superscript"/>
                <w:lang w:eastAsia="en-AU"/>
              </w:rPr>
              <w:t>1</w:t>
            </w:r>
            <w:r w:rsidR="00172BC4"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 xml:space="preserve"> </w:t>
            </w: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controlled for relevant other factors?</w:t>
            </w:r>
          </w:p>
        </w:tc>
        <w:tc>
          <w:tcPr>
            <w:tcW w:w="250" w:type="pct"/>
          </w:tcPr>
          <w:p w14:paraId="5A0AEE02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7059A089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3970917E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2E8A740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5764C8A2" w14:textId="77777777" w:rsidTr="00E04440">
        <w:tc>
          <w:tcPr>
            <w:tcW w:w="197" w:type="pct"/>
          </w:tcPr>
          <w:p w14:paraId="27AE7887" w14:textId="77777777" w:rsidR="002444A6" w:rsidRPr="00172BC4" w:rsidRDefault="002444A6" w:rsidP="00E04440">
            <w:pPr>
              <w:autoSpaceDE w:val="0"/>
              <w:autoSpaceDN w:val="0"/>
              <w:adjustRightInd w:val="0"/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10.</w:t>
            </w:r>
          </w:p>
        </w:tc>
        <w:tc>
          <w:tcPr>
            <w:tcW w:w="3771" w:type="pct"/>
          </w:tcPr>
          <w:p w14:paraId="6B528D7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Results reported in sufficient detail?</w:t>
            </w:r>
          </w:p>
        </w:tc>
        <w:tc>
          <w:tcPr>
            <w:tcW w:w="250" w:type="pct"/>
          </w:tcPr>
          <w:p w14:paraId="590AC1F6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0CBFD436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363CC6ED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54A84B7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1037A3BA" w14:textId="77777777" w:rsidTr="00E04440">
        <w:tc>
          <w:tcPr>
            <w:tcW w:w="197" w:type="pct"/>
          </w:tcPr>
          <w:p w14:paraId="5071E0F7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 xml:space="preserve">11. </w:t>
            </w:r>
          </w:p>
        </w:tc>
        <w:tc>
          <w:tcPr>
            <w:tcW w:w="3771" w:type="pct"/>
          </w:tcPr>
          <w:p w14:paraId="3BD05612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Conclusions supported by the results?</w:t>
            </w:r>
          </w:p>
        </w:tc>
        <w:tc>
          <w:tcPr>
            <w:tcW w:w="250" w:type="pct"/>
          </w:tcPr>
          <w:p w14:paraId="4282D16C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2FA8F0C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7F28F1C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60CF6A8E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2444A6" w:rsidRPr="005A5686" w14:paraId="1FF455EF" w14:textId="77777777" w:rsidTr="00E04440">
        <w:tc>
          <w:tcPr>
            <w:tcW w:w="197" w:type="pct"/>
          </w:tcPr>
          <w:p w14:paraId="4190DDC1" w14:textId="77777777" w:rsidR="002444A6" w:rsidRPr="00172BC4" w:rsidRDefault="002444A6" w:rsidP="00E04440">
            <w:pPr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</w:pPr>
          </w:p>
        </w:tc>
        <w:tc>
          <w:tcPr>
            <w:tcW w:w="3771" w:type="pct"/>
          </w:tcPr>
          <w:p w14:paraId="6D97FE04" w14:textId="655298C4" w:rsidR="002444A6" w:rsidRPr="00172BC4" w:rsidRDefault="002444A6" w:rsidP="00E04440">
            <w:pPr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</w:pPr>
            <w:r w:rsidRPr="00172BC4">
              <w:rPr>
                <w:rFonts w:eastAsia="MS Mincho" w:cs="QuadraatSansCon-Regular"/>
                <w:color w:val="241E1F"/>
                <w:sz w:val="20"/>
                <w:szCs w:val="20"/>
                <w:lang w:eastAsia="en-AU"/>
              </w:rPr>
              <w:t>Summary score</w:t>
            </w:r>
            <w:r w:rsidR="002E2236" w:rsidRPr="002E2236">
              <w:rPr>
                <w:rFonts w:eastAsia="MS Mincho" w:cs="QuadraatSansCon-Regular"/>
                <w:color w:val="241E1F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250" w:type="pct"/>
          </w:tcPr>
          <w:p w14:paraId="7AF8D589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3724F32A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14:paraId="1F91589E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26016E61" w14:textId="77777777" w:rsidR="002444A6" w:rsidRPr="00172BC4" w:rsidRDefault="002444A6" w:rsidP="00E04440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14:paraId="7B916B5E" w14:textId="77777777" w:rsidR="00172BC4" w:rsidRDefault="00172BC4" w:rsidP="002444A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Sabon-Roman"/>
          <w:sz w:val="20"/>
          <w:szCs w:val="20"/>
        </w:rPr>
      </w:pPr>
    </w:p>
    <w:p w14:paraId="2C81708D" w14:textId="08C5F303" w:rsidR="00172BC4" w:rsidRPr="00172BC4" w:rsidRDefault="00172BC4" w:rsidP="002444A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–¶¨^ˇ"/>
          <w:sz w:val="20"/>
          <w:szCs w:val="20"/>
        </w:rPr>
      </w:pPr>
      <w:r w:rsidRPr="002E2236">
        <w:rPr>
          <w:rFonts w:eastAsia="Cambria" w:cs="Sabon-Roman"/>
          <w:sz w:val="20"/>
          <w:szCs w:val="20"/>
          <w:vertAlign w:val="superscript"/>
        </w:rPr>
        <w:t>1</w:t>
      </w:r>
      <w:r w:rsidRPr="00172BC4">
        <w:rPr>
          <w:rFonts w:eastAsia="Cambria" w:cs="Sabon-Roman"/>
          <w:sz w:val="20"/>
          <w:szCs w:val="20"/>
        </w:rPr>
        <w:t xml:space="preserve"> </w:t>
      </w:r>
      <w:r w:rsidR="002444A6" w:rsidRPr="00172BC4">
        <w:rPr>
          <w:rFonts w:eastAsia="Cambria" w:cs="Sabon-Roman"/>
          <w:sz w:val="20"/>
          <w:szCs w:val="20"/>
        </w:rPr>
        <w:t>‘</w:t>
      </w:r>
      <w:r w:rsidR="002B5983" w:rsidRPr="00172BC4">
        <w:rPr>
          <w:rFonts w:eastAsia="Cambria" w:cs="–¶¨^ˇ"/>
          <w:sz w:val="20"/>
          <w:szCs w:val="20"/>
        </w:rPr>
        <w:t>S</w:t>
      </w:r>
      <w:r w:rsidR="002444A6" w:rsidRPr="00172BC4">
        <w:rPr>
          <w:rFonts w:eastAsia="Cambria" w:cs="–¶¨^ˇ"/>
          <w:sz w:val="20"/>
          <w:szCs w:val="20"/>
        </w:rPr>
        <w:t>ufficiently’ was defined as adjustment for age and gender, and at least one other relevant factor, including socio-economic (e.g., education or income), lifestyle (e.g., smoking, alcohol use or leisure-time physical activity) or health-related factors (e.g., body mass index or blood pressure).</w:t>
      </w:r>
    </w:p>
    <w:p w14:paraId="5C58C4FD" w14:textId="730CAAD0" w:rsidR="00194802" w:rsidRPr="005A5686" w:rsidRDefault="00172BC4" w:rsidP="002E223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72BC4">
        <w:rPr>
          <w:rFonts w:eastAsia="Cambria" w:cs="Sabon-Roman"/>
          <w:sz w:val="20"/>
          <w:szCs w:val="20"/>
          <w:vertAlign w:val="superscript"/>
        </w:rPr>
        <w:t>2</w:t>
      </w:r>
      <w:r w:rsidRPr="00172BC4">
        <w:rPr>
          <w:rFonts w:eastAsia="Cambria" w:cs="Sabon-Roman"/>
          <w:sz w:val="20"/>
          <w:szCs w:val="20"/>
        </w:rPr>
        <w:t xml:space="preserve"> Summary scores are calculated as: total sum[(number of ‘yes’ </w:t>
      </w:r>
      <w:r w:rsidRPr="00172BC4">
        <w:rPr>
          <w:rFonts w:eastAsia="BSSymbol-Medium" w:cs="BSSymbol-Medium"/>
          <w:sz w:val="20"/>
          <w:szCs w:val="20"/>
        </w:rPr>
        <w:t xml:space="preserve">× </w:t>
      </w:r>
      <w:r w:rsidRPr="00172BC4">
        <w:rPr>
          <w:rFonts w:eastAsia="Cambria" w:cs="Sabon-Roman"/>
          <w:sz w:val="20"/>
          <w:szCs w:val="20"/>
        </w:rPr>
        <w:t xml:space="preserve">2) </w:t>
      </w:r>
      <w:r w:rsidRPr="00172BC4">
        <w:rPr>
          <w:rFonts w:eastAsia="BSSymbol-Medium" w:cs="BSSymbol-Medium"/>
          <w:sz w:val="20"/>
          <w:szCs w:val="20"/>
        </w:rPr>
        <w:t xml:space="preserve">+ </w:t>
      </w:r>
      <w:r w:rsidRPr="00172BC4">
        <w:rPr>
          <w:rFonts w:eastAsia="Cambria" w:cs="Sabon-Roman"/>
          <w:sz w:val="20"/>
          <w:szCs w:val="20"/>
        </w:rPr>
        <w:t xml:space="preserve">(number of ‘partial’ </w:t>
      </w:r>
      <w:r w:rsidRPr="00172BC4">
        <w:rPr>
          <w:rFonts w:eastAsia="BSSymbol-Medium" w:cs="BSSymbol-Medium"/>
          <w:sz w:val="20"/>
          <w:szCs w:val="20"/>
        </w:rPr>
        <w:t xml:space="preserve">× </w:t>
      </w:r>
      <w:r w:rsidRPr="00172BC4">
        <w:rPr>
          <w:rFonts w:eastAsia="Cambria" w:cs="Sabon-Roman"/>
          <w:sz w:val="20"/>
          <w:szCs w:val="20"/>
        </w:rPr>
        <w:t xml:space="preserve">1)]/total possible sum[24 </w:t>
      </w:r>
      <w:r w:rsidRPr="00172BC4">
        <w:rPr>
          <w:rFonts w:eastAsia="BSSymbol-Medium" w:cs="BSSymbol-Medium"/>
          <w:sz w:val="20"/>
          <w:szCs w:val="20"/>
        </w:rPr>
        <w:t xml:space="preserve">− </w:t>
      </w:r>
      <w:r w:rsidRPr="00172BC4">
        <w:rPr>
          <w:rFonts w:eastAsia="Cambria" w:cs="Sabon-Roman"/>
          <w:sz w:val="20"/>
          <w:szCs w:val="20"/>
        </w:rPr>
        <w:t xml:space="preserve">(number of ‘N/A’ </w:t>
      </w:r>
      <w:r w:rsidRPr="00172BC4">
        <w:rPr>
          <w:rFonts w:eastAsia="BSSymbol-Medium" w:cs="BSSymbol-Medium"/>
          <w:sz w:val="20"/>
          <w:szCs w:val="20"/>
        </w:rPr>
        <w:t xml:space="preserve">× </w:t>
      </w:r>
      <w:r w:rsidRPr="00172BC4">
        <w:rPr>
          <w:rFonts w:eastAsia="Cambria" w:cs="Sabon-Roman"/>
          <w:sz w:val="20"/>
          <w:szCs w:val="20"/>
        </w:rPr>
        <w:t xml:space="preserve">2)]*100%, with a maximum possible total score of 100%. </w:t>
      </w:r>
    </w:p>
    <w:sectPr w:rsidR="00194802" w:rsidRPr="005A5686" w:rsidSect="002444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adraatSansC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draatSansC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–¶¨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SSymbo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5"/>
    <w:rsid w:val="00147EC8"/>
    <w:rsid w:val="00172BC4"/>
    <w:rsid w:val="002444A6"/>
    <w:rsid w:val="002B5983"/>
    <w:rsid w:val="002E2236"/>
    <w:rsid w:val="005A5686"/>
    <w:rsid w:val="00BB588F"/>
    <w:rsid w:val="00E775B4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D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4A6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2444A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4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5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983"/>
    <w:rPr>
      <w:rFonts w:ascii="Lucida Grande" w:hAnsi="Lucida Grande" w:cs="Lucida Grande"/>
      <w:sz w:val="18"/>
      <w:szCs w:val="18"/>
      <w:lang w:val="en-A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598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598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5983"/>
    <w:rPr>
      <w:sz w:val="24"/>
      <w:szCs w:val="24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598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5983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4A6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2444A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4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5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983"/>
    <w:rPr>
      <w:rFonts w:ascii="Lucida Grande" w:hAnsi="Lucida Grande" w:cs="Lucida Grande"/>
      <w:sz w:val="18"/>
      <w:szCs w:val="18"/>
      <w:lang w:val="en-A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598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598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5983"/>
    <w:rPr>
      <w:sz w:val="24"/>
      <w:szCs w:val="24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598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5983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52BB9B98</Template>
  <TotalTime>14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Pieter</dc:creator>
  <cp:keywords/>
  <dc:description/>
  <cp:lastModifiedBy>Coenen, Pieter</cp:lastModifiedBy>
  <cp:revision>5</cp:revision>
  <dcterms:created xsi:type="dcterms:W3CDTF">2018-03-21T04:24:00Z</dcterms:created>
  <dcterms:modified xsi:type="dcterms:W3CDTF">2018-03-26T12:47:00Z</dcterms:modified>
</cp:coreProperties>
</file>