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rutnt"/>
        <w:tblW w:w="5000" w:type="pct"/>
        <w:tblLook w:val="04A0" w:firstRow="1" w:lastRow="0" w:firstColumn="1" w:lastColumn="0" w:noHBand="0" w:noVBand="1"/>
      </w:tblPr>
      <w:tblGrid>
        <w:gridCol w:w="1253"/>
        <w:gridCol w:w="813"/>
        <w:gridCol w:w="729"/>
        <w:gridCol w:w="1986"/>
        <w:gridCol w:w="1335"/>
        <w:gridCol w:w="1606"/>
        <w:gridCol w:w="1234"/>
        <w:gridCol w:w="1243"/>
        <w:gridCol w:w="1187"/>
        <w:gridCol w:w="2608"/>
      </w:tblGrid>
      <w:tr w:rsidR="00055BB6" w:rsidRPr="00A01261" w14:paraId="78D644C9" w14:textId="77777777" w:rsidTr="00055BB6">
        <w:tc>
          <w:tcPr>
            <w:tcW w:w="5000" w:type="pct"/>
            <w:gridSpan w:val="10"/>
          </w:tcPr>
          <w:p w14:paraId="50D0E461" w14:textId="3E9470B3" w:rsidR="00055BB6" w:rsidRPr="00A01261" w:rsidRDefault="00055BB6" w:rsidP="00890FC9">
            <w:pPr>
              <w:pStyle w:val="Ingetavstnd"/>
              <w:jc w:val="center"/>
              <w:rPr>
                <w:rFonts w:hAnsiTheme="minorHAnsi" w:cstheme="minorHAnsi"/>
                <w:b/>
                <w:sz w:val="18"/>
                <w:szCs w:val="18"/>
              </w:rPr>
            </w:pPr>
            <w:r w:rsidRPr="003C25BB">
              <w:rPr>
                <w:rFonts w:hAnsiTheme="minorHAnsi" w:cstheme="minorHAnsi"/>
                <w:b/>
                <w:i/>
                <w:sz w:val="28"/>
                <w:szCs w:val="28"/>
              </w:rPr>
              <w:t>Appendix – overview of included studies</w:t>
            </w:r>
          </w:p>
        </w:tc>
      </w:tr>
      <w:tr w:rsidR="00055BB6" w:rsidRPr="00A01261" w14:paraId="39BAB0DC" w14:textId="77777777" w:rsidTr="00D80A55">
        <w:tc>
          <w:tcPr>
            <w:tcW w:w="448" w:type="pct"/>
            <w:vAlign w:val="center"/>
          </w:tcPr>
          <w:p w14:paraId="3F58F055" w14:textId="59C865DD" w:rsidR="00055BB6" w:rsidRPr="00A01261" w:rsidRDefault="00055BB6" w:rsidP="00055BB6">
            <w:pPr>
              <w:pStyle w:val="Ingetavstnd"/>
              <w:jc w:val="center"/>
              <w:rPr>
                <w:rFonts w:hAnsiTheme="minorHAnsi" w:cstheme="minorHAnsi"/>
                <w:b/>
                <w:sz w:val="18"/>
                <w:szCs w:val="18"/>
              </w:rPr>
            </w:pPr>
            <w:r w:rsidRPr="00A01261">
              <w:rPr>
                <w:rFonts w:hAnsiTheme="minorHAnsi" w:cstheme="minorHAnsi"/>
                <w:b/>
                <w:sz w:val="18"/>
                <w:szCs w:val="18"/>
              </w:rPr>
              <w:t>Author (year)</w:t>
            </w:r>
          </w:p>
        </w:tc>
        <w:tc>
          <w:tcPr>
            <w:tcW w:w="290" w:type="pct"/>
            <w:vAlign w:val="center"/>
          </w:tcPr>
          <w:p w14:paraId="15DAAF57" w14:textId="21ADBBD3" w:rsidR="00055BB6" w:rsidRPr="00A01261" w:rsidRDefault="00055BB6" w:rsidP="00055BB6">
            <w:pPr>
              <w:pStyle w:val="Ingetavstnd"/>
              <w:jc w:val="center"/>
              <w:rPr>
                <w:rFonts w:hAnsiTheme="minorHAnsi" w:cstheme="minorHAnsi"/>
                <w:b/>
                <w:sz w:val="18"/>
                <w:szCs w:val="18"/>
              </w:rPr>
            </w:pPr>
            <w:r>
              <w:rPr>
                <w:rFonts w:hAnsiTheme="minorHAnsi" w:cstheme="minorHAnsi"/>
                <w:b/>
                <w:sz w:val="18"/>
                <w:szCs w:val="18"/>
              </w:rPr>
              <w:t>Country</w:t>
            </w:r>
          </w:p>
        </w:tc>
        <w:tc>
          <w:tcPr>
            <w:tcW w:w="260" w:type="pct"/>
            <w:vAlign w:val="center"/>
          </w:tcPr>
          <w:p w14:paraId="3A6C3B64" w14:textId="3FD226B1" w:rsidR="00055BB6" w:rsidRPr="00A01261" w:rsidRDefault="00055BB6" w:rsidP="00055BB6">
            <w:pPr>
              <w:pStyle w:val="Ingetavstnd"/>
              <w:jc w:val="center"/>
              <w:rPr>
                <w:rFonts w:hAnsiTheme="minorHAnsi" w:cstheme="minorHAnsi"/>
                <w:b/>
                <w:sz w:val="18"/>
                <w:szCs w:val="18"/>
              </w:rPr>
            </w:pPr>
            <w:r>
              <w:rPr>
                <w:rFonts w:hAnsiTheme="minorHAnsi" w:cstheme="minorHAnsi"/>
                <w:b/>
                <w:sz w:val="18"/>
                <w:szCs w:val="18"/>
              </w:rPr>
              <w:t>Downs and Black score</w:t>
            </w:r>
          </w:p>
        </w:tc>
        <w:tc>
          <w:tcPr>
            <w:tcW w:w="710" w:type="pct"/>
            <w:vAlign w:val="center"/>
          </w:tcPr>
          <w:p w14:paraId="5208CD63" w14:textId="2763CAEA" w:rsidR="00055BB6" w:rsidRPr="00A01261" w:rsidRDefault="00055BB6" w:rsidP="00055BB6">
            <w:pPr>
              <w:pStyle w:val="Ingetavstnd"/>
              <w:jc w:val="center"/>
              <w:rPr>
                <w:rFonts w:hAnsiTheme="minorHAnsi" w:cstheme="minorHAnsi"/>
                <w:b/>
                <w:sz w:val="18"/>
                <w:szCs w:val="18"/>
              </w:rPr>
            </w:pPr>
            <w:r w:rsidRPr="00A01261">
              <w:rPr>
                <w:rFonts w:hAnsiTheme="minorHAnsi" w:cstheme="minorHAnsi"/>
                <w:b/>
                <w:sz w:val="18"/>
                <w:szCs w:val="18"/>
              </w:rPr>
              <w:t>Title</w:t>
            </w:r>
          </w:p>
        </w:tc>
        <w:tc>
          <w:tcPr>
            <w:tcW w:w="477" w:type="pct"/>
            <w:vAlign w:val="center"/>
          </w:tcPr>
          <w:p w14:paraId="36BC2702" w14:textId="77777777" w:rsidR="00055BB6" w:rsidRPr="00A01261" w:rsidRDefault="00055BB6" w:rsidP="00055BB6">
            <w:pPr>
              <w:pStyle w:val="Ingetavstnd"/>
              <w:jc w:val="center"/>
              <w:rPr>
                <w:rFonts w:hAnsiTheme="minorHAnsi" w:cstheme="minorHAnsi"/>
                <w:b/>
                <w:sz w:val="18"/>
                <w:szCs w:val="18"/>
              </w:rPr>
            </w:pPr>
            <w:r w:rsidRPr="00A01261">
              <w:rPr>
                <w:rFonts w:hAnsiTheme="minorHAnsi" w:cstheme="minorHAnsi"/>
                <w:b/>
                <w:sz w:val="18"/>
                <w:szCs w:val="18"/>
              </w:rPr>
              <w:t>Objective</w:t>
            </w:r>
          </w:p>
        </w:tc>
        <w:tc>
          <w:tcPr>
            <w:tcW w:w="574" w:type="pct"/>
            <w:vAlign w:val="center"/>
          </w:tcPr>
          <w:p w14:paraId="6B313B9C" w14:textId="77777777" w:rsidR="00055BB6" w:rsidRPr="00A01261" w:rsidRDefault="00055BB6" w:rsidP="00055BB6">
            <w:pPr>
              <w:pStyle w:val="Ingetavstnd"/>
              <w:jc w:val="center"/>
              <w:rPr>
                <w:rFonts w:hAnsiTheme="minorHAnsi" w:cstheme="minorHAnsi"/>
                <w:b/>
                <w:sz w:val="18"/>
                <w:szCs w:val="18"/>
              </w:rPr>
            </w:pPr>
            <w:r w:rsidRPr="00A01261">
              <w:rPr>
                <w:rFonts w:hAnsiTheme="minorHAnsi" w:cstheme="minorHAnsi"/>
                <w:b/>
                <w:sz w:val="18"/>
                <w:szCs w:val="18"/>
              </w:rPr>
              <w:t>Outcome</w:t>
            </w:r>
          </w:p>
        </w:tc>
        <w:tc>
          <w:tcPr>
            <w:tcW w:w="441" w:type="pct"/>
            <w:vAlign w:val="center"/>
          </w:tcPr>
          <w:p w14:paraId="5AC8BF3D" w14:textId="77777777" w:rsidR="00055BB6" w:rsidRPr="00A01261" w:rsidRDefault="00055BB6" w:rsidP="00055BB6">
            <w:pPr>
              <w:pStyle w:val="Ingetavstnd"/>
              <w:jc w:val="center"/>
              <w:rPr>
                <w:rFonts w:hAnsiTheme="minorHAnsi" w:cstheme="minorHAnsi"/>
                <w:b/>
                <w:sz w:val="18"/>
                <w:szCs w:val="18"/>
              </w:rPr>
            </w:pPr>
            <w:r w:rsidRPr="00A01261">
              <w:rPr>
                <w:rFonts w:hAnsiTheme="minorHAnsi" w:cstheme="minorHAnsi"/>
                <w:b/>
                <w:sz w:val="18"/>
                <w:szCs w:val="18"/>
              </w:rPr>
              <w:t>Sample size</w:t>
            </w:r>
          </w:p>
        </w:tc>
        <w:tc>
          <w:tcPr>
            <w:tcW w:w="444" w:type="pct"/>
            <w:vAlign w:val="center"/>
          </w:tcPr>
          <w:p w14:paraId="625D72D5" w14:textId="77777777" w:rsidR="00055BB6" w:rsidRPr="00A01261" w:rsidRDefault="00055BB6" w:rsidP="00055BB6">
            <w:pPr>
              <w:pStyle w:val="Ingetavstnd"/>
              <w:jc w:val="center"/>
              <w:rPr>
                <w:rFonts w:hAnsiTheme="minorHAnsi" w:cstheme="minorHAnsi"/>
                <w:b/>
                <w:sz w:val="18"/>
                <w:szCs w:val="18"/>
              </w:rPr>
            </w:pPr>
            <w:r w:rsidRPr="00A01261">
              <w:rPr>
                <w:rFonts w:hAnsiTheme="minorHAnsi" w:cstheme="minorHAnsi"/>
                <w:b/>
                <w:sz w:val="18"/>
                <w:szCs w:val="18"/>
              </w:rPr>
              <w:t>Follow-up</w:t>
            </w:r>
          </w:p>
        </w:tc>
        <w:tc>
          <w:tcPr>
            <w:tcW w:w="424" w:type="pct"/>
            <w:vAlign w:val="center"/>
          </w:tcPr>
          <w:p w14:paraId="360B2FE5" w14:textId="77777777" w:rsidR="00055BB6" w:rsidRPr="00A01261" w:rsidRDefault="00055BB6" w:rsidP="00055BB6">
            <w:pPr>
              <w:pStyle w:val="Ingetavstnd"/>
              <w:jc w:val="center"/>
              <w:rPr>
                <w:rFonts w:hAnsiTheme="minorHAnsi" w:cstheme="minorHAnsi"/>
                <w:b/>
                <w:sz w:val="18"/>
                <w:szCs w:val="18"/>
              </w:rPr>
            </w:pPr>
            <w:r w:rsidRPr="00A01261">
              <w:rPr>
                <w:rFonts w:hAnsiTheme="minorHAnsi" w:cstheme="minorHAnsi"/>
                <w:b/>
                <w:sz w:val="18"/>
                <w:szCs w:val="18"/>
              </w:rPr>
              <w:t>Statistics</w:t>
            </w:r>
          </w:p>
        </w:tc>
        <w:tc>
          <w:tcPr>
            <w:tcW w:w="932" w:type="pct"/>
            <w:vAlign w:val="center"/>
          </w:tcPr>
          <w:p w14:paraId="663927DA" w14:textId="77777777" w:rsidR="00055BB6" w:rsidRPr="00A01261" w:rsidRDefault="00055BB6" w:rsidP="00055BB6">
            <w:pPr>
              <w:pStyle w:val="Ingetavstnd"/>
              <w:jc w:val="center"/>
              <w:rPr>
                <w:rFonts w:hAnsiTheme="minorHAnsi" w:cstheme="minorHAnsi"/>
                <w:b/>
                <w:sz w:val="18"/>
                <w:szCs w:val="18"/>
              </w:rPr>
            </w:pPr>
            <w:r w:rsidRPr="00A01261">
              <w:rPr>
                <w:rFonts w:hAnsiTheme="minorHAnsi" w:cstheme="minorHAnsi"/>
                <w:b/>
                <w:sz w:val="18"/>
                <w:szCs w:val="18"/>
              </w:rPr>
              <w:t>Result/conclusion</w:t>
            </w:r>
          </w:p>
        </w:tc>
      </w:tr>
      <w:tr w:rsidR="00055BB6" w:rsidRPr="00A01261" w14:paraId="16CC42E2" w14:textId="77777777" w:rsidTr="00D80A55">
        <w:tc>
          <w:tcPr>
            <w:tcW w:w="448" w:type="pct"/>
            <w:vAlign w:val="center"/>
          </w:tcPr>
          <w:p w14:paraId="06255A94" w14:textId="29161CFC" w:rsidR="00055BB6" w:rsidRPr="00A01261" w:rsidRDefault="00055BB6" w:rsidP="00833E7F">
            <w:pPr>
              <w:pStyle w:val="Ingetavstnd"/>
              <w:rPr>
                <w:rFonts w:hAnsiTheme="minorHAnsi" w:cstheme="minorHAnsi"/>
                <w:sz w:val="18"/>
                <w:szCs w:val="18"/>
              </w:rPr>
            </w:pPr>
            <w:proofErr w:type="spellStart"/>
            <w:r>
              <w:rPr>
                <w:rFonts w:hAnsiTheme="minorHAnsi" w:cstheme="minorHAnsi"/>
                <w:sz w:val="18"/>
                <w:szCs w:val="18"/>
              </w:rPr>
              <w:t>Ageberg</w:t>
            </w:r>
            <w:proofErr w:type="spellEnd"/>
            <w:r>
              <w:rPr>
                <w:rFonts w:hAnsiTheme="minorHAnsi" w:cstheme="minorHAnsi"/>
                <w:sz w:val="18"/>
                <w:szCs w:val="18"/>
              </w:rPr>
              <w:t xml:space="preserve"> et al (2010)</w:t>
            </w:r>
          </w:p>
        </w:tc>
        <w:tc>
          <w:tcPr>
            <w:tcW w:w="290" w:type="pct"/>
            <w:vAlign w:val="center"/>
          </w:tcPr>
          <w:p w14:paraId="181D3923" w14:textId="60F75DCF" w:rsidR="00055BB6" w:rsidRPr="00A01261" w:rsidRDefault="00055BB6" w:rsidP="00833E7F">
            <w:pPr>
              <w:pStyle w:val="Ingetavstnd"/>
              <w:jc w:val="center"/>
              <w:rPr>
                <w:rFonts w:hAnsiTheme="minorHAnsi" w:cstheme="minorHAnsi"/>
                <w:color w:val="000000"/>
                <w:sz w:val="18"/>
                <w:szCs w:val="18"/>
              </w:rPr>
            </w:pPr>
            <w:proofErr w:type="spellStart"/>
            <w:r>
              <w:rPr>
                <w:rFonts w:hAnsiTheme="minorHAnsi" w:cstheme="minorHAnsi"/>
                <w:color w:val="000000"/>
                <w:sz w:val="18"/>
                <w:szCs w:val="18"/>
              </w:rPr>
              <w:t>Swe</w:t>
            </w:r>
            <w:proofErr w:type="spellEnd"/>
          </w:p>
        </w:tc>
        <w:tc>
          <w:tcPr>
            <w:tcW w:w="260" w:type="pct"/>
            <w:vAlign w:val="center"/>
          </w:tcPr>
          <w:p w14:paraId="5E69B7BA" w14:textId="72665B92" w:rsidR="00055BB6" w:rsidRPr="00DB2FFA" w:rsidRDefault="00DB2FFA" w:rsidP="00DA77BC">
            <w:pPr>
              <w:pStyle w:val="Ingetavstnd"/>
              <w:jc w:val="center"/>
              <w:rPr>
                <w:rFonts w:hAnsiTheme="minorHAnsi" w:cstheme="minorHAnsi"/>
                <w:sz w:val="18"/>
                <w:szCs w:val="18"/>
              </w:rPr>
            </w:pPr>
            <w:r>
              <w:rPr>
                <w:rFonts w:hAnsiTheme="minorHAnsi" w:cstheme="minorHAnsi"/>
                <w:sz w:val="18"/>
                <w:szCs w:val="18"/>
              </w:rPr>
              <w:t>18</w:t>
            </w:r>
          </w:p>
        </w:tc>
        <w:tc>
          <w:tcPr>
            <w:tcW w:w="710" w:type="pct"/>
            <w:vAlign w:val="center"/>
          </w:tcPr>
          <w:p w14:paraId="62109AA8" w14:textId="652F30A3" w:rsidR="00055BB6" w:rsidRPr="00A01261" w:rsidRDefault="00055BB6" w:rsidP="00833E7F">
            <w:pPr>
              <w:pStyle w:val="Ingetavstnd"/>
              <w:rPr>
                <w:rFonts w:hAnsiTheme="minorHAnsi" w:cstheme="minorHAnsi"/>
                <w:sz w:val="18"/>
                <w:szCs w:val="18"/>
              </w:rPr>
            </w:pPr>
            <w:r>
              <w:rPr>
                <w:rFonts w:ascii="Segoe UI" w:hAnsi="Segoe UI" w:cs="Segoe UI"/>
                <w:sz w:val="18"/>
                <w:szCs w:val="18"/>
              </w:rPr>
              <w:t>Gender differences in patient-reported outcomes after ACL reconstruction: data from the SNKLR</w:t>
            </w:r>
          </w:p>
        </w:tc>
        <w:tc>
          <w:tcPr>
            <w:tcW w:w="477" w:type="pct"/>
            <w:vAlign w:val="center"/>
          </w:tcPr>
          <w:p w14:paraId="41A9E208" w14:textId="77777777" w:rsidR="00055BB6" w:rsidRDefault="00055BB6" w:rsidP="00833E7F">
            <w:pPr>
              <w:rPr>
                <w:rFonts w:ascii="Calibri" w:hAnsi="Calibri"/>
                <w:color w:val="000000"/>
                <w:sz w:val="18"/>
                <w:szCs w:val="18"/>
              </w:rPr>
            </w:pPr>
            <w:r>
              <w:rPr>
                <w:rFonts w:ascii="Calibri" w:hAnsi="Calibri"/>
                <w:color w:val="000000"/>
                <w:sz w:val="18"/>
                <w:szCs w:val="18"/>
              </w:rPr>
              <w:t>Study gender differences in PROMs before and one and two years after ACLR</w:t>
            </w:r>
          </w:p>
          <w:p w14:paraId="320A1665" w14:textId="69CB762C" w:rsidR="00055BB6" w:rsidRPr="00A01261" w:rsidRDefault="00055BB6" w:rsidP="00833E7F">
            <w:pPr>
              <w:pStyle w:val="Ingetavstnd"/>
              <w:rPr>
                <w:rFonts w:hAnsiTheme="minorHAnsi" w:cstheme="minorHAnsi"/>
                <w:sz w:val="18"/>
                <w:szCs w:val="18"/>
              </w:rPr>
            </w:pPr>
          </w:p>
        </w:tc>
        <w:tc>
          <w:tcPr>
            <w:tcW w:w="574" w:type="pct"/>
            <w:vAlign w:val="center"/>
          </w:tcPr>
          <w:p w14:paraId="4809E1BB" w14:textId="2D51155D" w:rsidR="00055BB6" w:rsidRPr="00A01261" w:rsidRDefault="00055BB6" w:rsidP="00833E7F">
            <w:pPr>
              <w:pStyle w:val="Ingetavstnd"/>
              <w:rPr>
                <w:rFonts w:hAnsiTheme="minorHAnsi" w:cstheme="minorHAnsi"/>
                <w:sz w:val="18"/>
                <w:szCs w:val="18"/>
              </w:rPr>
            </w:pPr>
            <w:r>
              <w:rPr>
                <w:rFonts w:hAnsiTheme="minorHAnsi" w:cstheme="minorHAnsi"/>
                <w:color w:val="000000"/>
                <w:sz w:val="18"/>
                <w:szCs w:val="18"/>
              </w:rPr>
              <w:t>KOOS and EQ5-D</w:t>
            </w:r>
          </w:p>
        </w:tc>
        <w:tc>
          <w:tcPr>
            <w:tcW w:w="441" w:type="pct"/>
            <w:vAlign w:val="center"/>
          </w:tcPr>
          <w:p w14:paraId="1AAD5D11" w14:textId="77777777" w:rsidR="00055BB6" w:rsidRDefault="00055BB6" w:rsidP="00833E7F">
            <w:pPr>
              <w:pStyle w:val="Ingetavstnd"/>
              <w:rPr>
                <w:rFonts w:ascii="Calibri" w:hAnsi="Calibri"/>
                <w:color w:val="000000"/>
                <w:sz w:val="18"/>
                <w:szCs w:val="18"/>
              </w:rPr>
            </w:pPr>
            <w:r>
              <w:rPr>
                <w:rFonts w:hAnsiTheme="minorHAnsi" w:cstheme="minorHAnsi"/>
                <w:color w:val="000000"/>
                <w:sz w:val="18"/>
                <w:szCs w:val="18"/>
              </w:rPr>
              <w:t xml:space="preserve">N = </w:t>
            </w:r>
            <w:r>
              <w:rPr>
                <w:rFonts w:ascii="Calibri" w:hAnsi="Calibri"/>
                <w:color w:val="000000"/>
                <w:sz w:val="18"/>
                <w:szCs w:val="18"/>
              </w:rPr>
              <w:t xml:space="preserve">10,164 </w:t>
            </w:r>
          </w:p>
          <w:p w14:paraId="07D80535" w14:textId="59CE03C1" w:rsidR="00055BB6" w:rsidRPr="00290DDA" w:rsidRDefault="00DD08C0" w:rsidP="00833E7F">
            <w:pPr>
              <w:pStyle w:val="Ingetavstnd"/>
              <w:rPr>
                <w:rFonts w:hAnsiTheme="minorHAnsi" w:cstheme="minorHAnsi"/>
                <w:color w:val="000000"/>
                <w:sz w:val="18"/>
                <w:szCs w:val="18"/>
              </w:rPr>
            </w:pPr>
            <w:r>
              <w:rPr>
                <w:rFonts w:ascii="Calibri" w:hAnsi="Calibri"/>
                <w:color w:val="000000"/>
                <w:sz w:val="18"/>
                <w:szCs w:val="18"/>
              </w:rPr>
              <w:t xml:space="preserve">(F = </w:t>
            </w:r>
            <w:r w:rsidR="00055BB6">
              <w:rPr>
                <w:rFonts w:ascii="Calibri" w:hAnsi="Calibri"/>
                <w:color w:val="000000"/>
                <w:sz w:val="18"/>
                <w:szCs w:val="18"/>
              </w:rPr>
              <w:t>42%</w:t>
            </w:r>
            <w:r>
              <w:rPr>
                <w:rFonts w:ascii="Calibri" w:hAnsi="Calibri"/>
                <w:color w:val="000000"/>
                <w:sz w:val="18"/>
                <w:szCs w:val="18"/>
              </w:rPr>
              <w:t>)</w:t>
            </w:r>
          </w:p>
          <w:p w14:paraId="3E258FE3" w14:textId="3F997824" w:rsidR="00055BB6" w:rsidRPr="00A01261" w:rsidRDefault="00055BB6" w:rsidP="00833E7F">
            <w:pPr>
              <w:pStyle w:val="Ingetavstnd"/>
              <w:rPr>
                <w:rFonts w:hAnsiTheme="minorHAnsi" w:cstheme="minorHAnsi"/>
                <w:sz w:val="18"/>
                <w:szCs w:val="18"/>
              </w:rPr>
            </w:pPr>
          </w:p>
        </w:tc>
        <w:tc>
          <w:tcPr>
            <w:tcW w:w="444" w:type="pct"/>
            <w:vAlign w:val="center"/>
          </w:tcPr>
          <w:p w14:paraId="420DBFD9" w14:textId="103FFDA4" w:rsidR="00055BB6" w:rsidRPr="00A01261" w:rsidRDefault="00055BB6" w:rsidP="00833E7F">
            <w:pPr>
              <w:pStyle w:val="Ingetavstnd"/>
              <w:rPr>
                <w:rFonts w:hAnsiTheme="minorHAnsi" w:cstheme="minorHAnsi"/>
                <w:sz w:val="18"/>
                <w:szCs w:val="18"/>
              </w:rPr>
            </w:pPr>
            <w:r>
              <w:rPr>
                <w:rFonts w:hAnsiTheme="minorHAnsi" w:cstheme="minorHAnsi"/>
                <w:color w:val="000000"/>
                <w:sz w:val="18"/>
                <w:szCs w:val="18"/>
              </w:rPr>
              <w:t>1 and 2 y</w:t>
            </w:r>
            <w:r w:rsidR="00F47F68">
              <w:rPr>
                <w:rFonts w:hAnsiTheme="minorHAnsi" w:cstheme="minorHAnsi"/>
                <w:color w:val="000000"/>
                <w:sz w:val="18"/>
                <w:szCs w:val="18"/>
              </w:rPr>
              <w:t>ears</w:t>
            </w:r>
          </w:p>
        </w:tc>
        <w:tc>
          <w:tcPr>
            <w:tcW w:w="424" w:type="pct"/>
            <w:vAlign w:val="center"/>
          </w:tcPr>
          <w:p w14:paraId="2485AD25" w14:textId="63C89C06" w:rsidR="00055BB6" w:rsidRPr="00A01261" w:rsidRDefault="00055BB6" w:rsidP="00833E7F">
            <w:pPr>
              <w:pStyle w:val="Ingetavstnd"/>
              <w:rPr>
                <w:rFonts w:hAnsiTheme="minorHAnsi" w:cstheme="minorHAnsi"/>
                <w:sz w:val="18"/>
                <w:szCs w:val="18"/>
              </w:rPr>
            </w:pPr>
            <w:r>
              <w:rPr>
                <w:rFonts w:hAnsiTheme="minorHAnsi" w:cstheme="minorHAnsi"/>
                <w:color w:val="000000"/>
                <w:sz w:val="18"/>
                <w:szCs w:val="18"/>
              </w:rPr>
              <w:t>ANCOVA</w:t>
            </w:r>
          </w:p>
        </w:tc>
        <w:tc>
          <w:tcPr>
            <w:tcW w:w="932" w:type="pct"/>
            <w:vAlign w:val="center"/>
          </w:tcPr>
          <w:p w14:paraId="22167589" w14:textId="5CBE45D4" w:rsidR="00055BB6" w:rsidRDefault="00055BB6" w:rsidP="00833E7F">
            <w:pPr>
              <w:rPr>
                <w:rFonts w:ascii="Calibri" w:hAnsi="Calibri"/>
                <w:color w:val="000000"/>
                <w:sz w:val="18"/>
                <w:szCs w:val="18"/>
              </w:rPr>
            </w:pPr>
            <w:r>
              <w:rPr>
                <w:rFonts w:ascii="Calibri" w:hAnsi="Calibri"/>
                <w:color w:val="000000"/>
                <w:sz w:val="18"/>
                <w:szCs w:val="18"/>
              </w:rPr>
              <w:t>Females report statistically significantly worse outcome preoperatively and one and two years postoperatively. No clinically relevant gender differences in improvement over time</w:t>
            </w:r>
            <w:r w:rsidR="00DD08C0">
              <w:rPr>
                <w:rFonts w:ascii="Calibri" w:hAnsi="Calibri"/>
                <w:color w:val="000000"/>
                <w:sz w:val="18"/>
                <w:szCs w:val="18"/>
              </w:rPr>
              <w:t>.</w:t>
            </w:r>
          </w:p>
          <w:p w14:paraId="37501898" w14:textId="2E1B414D" w:rsidR="00055BB6" w:rsidRPr="00A01261" w:rsidRDefault="00055BB6" w:rsidP="00833E7F">
            <w:pPr>
              <w:pStyle w:val="Ingetavstnd"/>
              <w:rPr>
                <w:rFonts w:hAnsiTheme="minorHAnsi" w:cstheme="minorHAnsi"/>
                <w:sz w:val="18"/>
                <w:szCs w:val="18"/>
              </w:rPr>
            </w:pPr>
          </w:p>
        </w:tc>
      </w:tr>
      <w:tr w:rsidR="00055BB6" w:rsidRPr="00A01261" w14:paraId="205BB054" w14:textId="77777777" w:rsidTr="00D80A55">
        <w:tc>
          <w:tcPr>
            <w:tcW w:w="448" w:type="pct"/>
            <w:vAlign w:val="center"/>
          </w:tcPr>
          <w:p w14:paraId="24934380" w14:textId="7F3B0162" w:rsidR="00055BB6" w:rsidRPr="00A01261" w:rsidRDefault="00055BB6" w:rsidP="00833E7F">
            <w:pPr>
              <w:pStyle w:val="Ingetavstnd"/>
              <w:rPr>
                <w:rFonts w:hAnsiTheme="minorHAnsi" w:cstheme="minorHAnsi"/>
                <w:sz w:val="18"/>
                <w:szCs w:val="18"/>
              </w:rPr>
            </w:pPr>
            <w:r w:rsidRPr="00A01261">
              <w:rPr>
                <w:rFonts w:hAnsiTheme="minorHAnsi" w:cstheme="minorHAnsi"/>
                <w:sz w:val="18"/>
                <w:szCs w:val="18"/>
              </w:rPr>
              <w:t xml:space="preserve">Ahldén </w:t>
            </w:r>
            <w:r>
              <w:rPr>
                <w:rFonts w:hAnsiTheme="minorHAnsi" w:cstheme="minorHAnsi"/>
                <w:sz w:val="18"/>
                <w:szCs w:val="18"/>
              </w:rPr>
              <w:t xml:space="preserve">et al </w:t>
            </w:r>
            <w:r w:rsidRPr="00A01261">
              <w:rPr>
                <w:rFonts w:hAnsiTheme="minorHAnsi" w:cstheme="minorHAnsi"/>
                <w:sz w:val="18"/>
                <w:szCs w:val="18"/>
              </w:rPr>
              <w:t>(2012)</w:t>
            </w:r>
          </w:p>
        </w:tc>
        <w:tc>
          <w:tcPr>
            <w:tcW w:w="290" w:type="pct"/>
            <w:vAlign w:val="center"/>
          </w:tcPr>
          <w:p w14:paraId="27B6447F" w14:textId="41126968" w:rsidR="00055BB6" w:rsidRPr="00A01261" w:rsidRDefault="00055BB6" w:rsidP="00833E7F">
            <w:pPr>
              <w:pStyle w:val="Ingetavstnd"/>
              <w:jc w:val="center"/>
              <w:rPr>
                <w:rFonts w:hAnsiTheme="minorHAnsi" w:cstheme="minorHAnsi"/>
                <w:color w:val="000000"/>
                <w:sz w:val="18"/>
                <w:szCs w:val="18"/>
              </w:rPr>
            </w:pPr>
            <w:proofErr w:type="spellStart"/>
            <w:r>
              <w:rPr>
                <w:rFonts w:hAnsiTheme="minorHAnsi" w:cstheme="minorHAnsi"/>
                <w:color w:val="000000"/>
                <w:sz w:val="18"/>
                <w:szCs w:val="18"/>
              </w:rPr>
              <w:t>Swe</w:t>
            </w:r>
            <w:proofErr w:type="spellEnd"/>
          </w:p>
        </w:tc>
        <w:tc>
          <w:tcPr>
            <w:tcW w:w="260" w:type="pct"/>
            <w:vAlign w:val="center"/>
          </w:tcPr>
          <w:p w14:paraId="3CE655E2" w14:textId="6B559C0C" w:rsidR="00055BB6" w:rsidRPr="00A01261" w:rsidRDefault="00DB2FFA" w:rsidP="00DA77BC">
            <w:pPr>
              <w:pStyle w:val="Ingetavstnd"/>
              <w:jc w:val="center"/>
              <w:rPr>
                <w:rFonts w:hAnsiTheme="minorHAnsi" w:cstheme="minorHAnsi"/>
                <w:color w:val="000000"/>
                <w:sz w:val="18"/>
                <w:szCs w:val="18"/>
              </w:rPr>
            </w:pPr>
            <w:r>
              <w:rPr>
                <w:rFonts w:hAnsiTheme="minorHAnsi" w:cstheme="minorHAnsi"/>
                <w:color w:val="000000"/>
                <w:sz w:val="18"/>
                <w:szCs w:val="18"/>
              </w:rPr>
              <w:t>15</w:t>
            </w:r>
          </w:p>
        </w:tc>
        <w:tc>
          <w:tcPr>
            <w:tcW w:w="710" w:type="pct"/>
            <w:vAlign w:val="center"/>
          </w:tcPr>
          <w:p w14:paraId="40914A82" w14:textId="18BA4499" w:rsidR="00055BB6" w:rsidRPr="00A01261" w:rsidRDefault="00055BB6" w:rsidP="00833E7F">
            <w:pPr>
              <w:pStyle w:val="Ingetavstnd"/>
              <w:rPr>
                <w:rFonts w:hAnsiTheme="minorHAnsi" w:cstheme="minorHAnsi"/>
                <w:sz w:val="18"/>
                <w:szCs w:val="18"/>
              </w:rPr>
            </w:pPr>
            <w:r w:rsidRPr="00A01261">
              <w:rPr>
                <w:rFonts w:hAnsiTheme="minorHAnsi" w:cstheme="minorHAnsi"/>
                <w:color w:val="000000"/>
                <w:sz w:val="18"/>
                <w:szCs w:val="18"/>
              </w:rPr>
              <w:t>The SNKLR: a report on baseline variables and outcome of surgery for almost 18,000 patients</w:t>
            </w:r>
          </w:p>
        </w:tc>
        <w:tc>
          <w:tcPr>
            <w:tcW w:w="477" w:type="pct"/>
            <w:vAlign w:val="center"/>
          </w:tcPr>
          <w:p w14:paraId="20E4423B" w14:textId="0CD895EB" w:rsidR="00055BB6" w:rsidRPr="00A01261" w:rsidRDefault="00055BB6" w:rsidP="00833E7F">
            <w:pPr>
              <w:pStyle w:val="Ingetavstnd"/>
              <w:rPr>
                <w:rFonts w:hAnsiTheme="minorHAnsi" w:cstheme="minorHAnsi"/>
                <w:sz w:val="18"/>
                <w:szCs w:val="18"/>
              </w:rPr>
            </w:pPr>
            <w:r w:rsidRPr="00A01261">
              <w:rPr>
                <w:rFonts w:hAnsiTheme="minorHAnsi" w:cstheme="minorHAnsi"/>
                <w:sz w:val="18"/>
                <w:szCs w:val="18"/>
              </w:rPr>
              <w:t xml:space="preserve">To report the baseline variables, patient-based outcomes and factors associated with poorer outcome </w:t>
            </w:r>
          </w:p>
        </w:tc>
        <w:tc>
          <w:tcPr>
            <w:tcW w:w="574" w:type="pct"/>
            <w:vAlign w:val="center"/>
          </w:tcPr>
          <w:p w14:paraId="6FCDA593" w14:textId="6BFC0972" w:rsidR="00055BB6" w:rsidRPr="00A01261" w:rsidRDefault="00055BB6" w:rsidP="00833E7F">
            <w:pPr>
              <w:pStyle w:val="Ingetavstnd"/>
              <w:rPr>
                <w:rFonts w:hAnsiTheme="minorHAnsi" w:cstheme="minorHAnsi"/>
                <w:sz w:val="18"/>
                <w:szCs w:val="18"/>
              </w:rPr>
            </w:pPr>
            <w:r w:rsidRPr="00A01261">
              <w:rPr>
                <w:rFonts w:hAnsiTheme="minorHAnsi" w:cstheme="minorHAnsi"/>
                <w:color w:val="000000"/>
                <w:sz w:val="18"/>
                <w:szCs w:val="18"/>
              </w:rPr>
              <w:t xml:space="preserve">KOOS and additional surgery </w:t>
            </w:r>
          </w:p>
        </w:tc>
        <w:tc>
          <w:tcPr>
            <w:tcW w:w="441" w:type="pct"/>
            <w:vAlign w:val="center"/>
          </w:tcPr>
          <w:p w14:paraId="3F0359A5" w14:textId="77777777" w:rsidR="00055BB6" w:rsidRDefault="00055BB6" w:rsidP="00833E7F">
            <w:pPr>
              <w:pStyle w:val="Ingetavstnd"/>
              <w:rPr>
                <w:rFonts w:hAnsiTheme="minorHAnsi" w:cstheme="minorHAnsi"/>
                <w:color w:val="000000"/>
                <w:sz w:val="18"/>
                <w:szCs w:val="18"/>
              </w:rPr>
            </w:pPr>
            <w:r w:rsidRPr="00A01261">
              <w:rPr>
                <w:rFonts w:hAnsiTheme="minorHAnsi" w:cstheme="minorHAnsi"/>
                <w:color w:val="000000"/>
                <w:sz w:val="18"/>
                <w:szCs w:val="18"/>
              </w:rPr>
              <w:t>N</w:t>
            </w:r>
            <w:r>
              <w:rPr>
                <w:rFonts w:hAnsiTheme="minorHAnsi" w:cstheme="minorHAnsi"/>
                <w:color w:val="000000"/>
                <w:sz w:val="18"/>
                <w:szCs w:val="18"/>
              </w:rPr>
              <w:t xml:space="preserve"> </w:t>
            </w:r>
            <w:r w:rsidRPr="00A01261">
              <w:rPr>
                <w:rFonts w:hAnsiTheme="minorHAnsi" w:cstheme="minorHAnsi"/>
                <w:color w:val="000000"/>
                <w:sz w:val="18"/>
                <w:szCs w:val="18"/>
              </w:rPr>
              <w:t>=</w:t>
            </w:r>
            <w:r>
              <w:rPr>
                <w:rFonts w:hAnsiTheme="minorHAnsi" w:cstheme="minorHAnsi"/>
                <w:color w:val="000000"/>
                <w:sz w:val="18"/>
                <w:szCs w:val="18"/>
              </w:rPr>
              <w:t xml:space="preserve"> 16,351 </w:t>
            </w:r>
          </w:p>
          <w:p w14:paraId="3F55F7EE" w14:textId="3F85AC27" w:rsidR="00055BB6" w:rsidRPr="0019482F" w:rsidRDefault="00DD08C0" w:rsidP="00833E7F">
            <w:pPr>
              <w:pStyle w:val="Ingetavstnd"/>
              <w:rPr>
                <w:rFonts w:hAnsiTheme="minorHAnsi" w:cstheme="minorHAnsi"/>
                <w:color w:val="000000"/>
                <w:sz w:val="18"/>
                <w:szCs w:val="18"/>
              </w:rPr>
            </w:pPr>
            <w:r>
              <w:rPr>
                <w:rFonts w:hAnsiTheme="minorHAnsi" w:cstheme="minorHAnsi"/>
                <w:color w:val="000000"/>
                <w:sz w:val="18"/>
                <w:szCs w:val="18"/>
              </w:rPr>
              <w:t>(F =</w:t>
            </w:r>
            <w:r w:rsidR="00055BB6">
              <w:rPr>
                <w:rFonts w:hAnsiTheme="minorHAnsi" w:cstheme="minorHAnsi"/>
                <w:color w:val="000000"/>
                <w:sz w:val="18"/>
                <w:szCs w:val="18"/>
              </w:rPr>
              <w:t xml:space="preserve"> </w:t>
            </w:r>
            <w:r w:rsidR="00055BB6" w:rsidRPr="00A01261">
              <w:rPr>
                <w:rFonts w:hAnsiTheme="minorHAnsi" w:cstheme="minorHAnsi"/>
                <w:color w:val="000000"/>
                <w:sz w:val="18"/>
                <w:szCs w:val="18"/>
              </w:rPr>
              <w:t>42.4%</w:t>
            </w:r>
            <w:r>
              <w:rPr>
                <w:rFonts w:hAnsiTheme="minorHAnsi" w:cstheme="minorHAnsi"/>
                <w:color w:val="000000"/>
                <w:sz w:val="18"/>
                <w:szCs w:val="18"/>
              </w:rPr>
              <w:t>)</w:t>
            </w:r>
          </w:p>
        </w:tc>
        <w:tc>
          <w:tcPr>
            <w:tcW w:w="444" w:type="pct"/>
            <w:vAlign w:val="center"/>
          </w:tcPr>
          <w:p w14:paraId="6015454B" w14:textId="0592B494" w:rsidR="00055BB6" w:rsidRPr="00A01261" w:rsidRDefault="00055BB6" w:rsidP="00833E7F">
            <w:pPr>
              <w:pStyle w:val="Ingetavstnd"/>
              <w:rPr>
                <w:rFonts w:hAnsiTheme="minorHAnsi" w:cstheme="minorHAnsi"/>
                <w:sz w:val="18"/>
                <w:szCs w:val="18"/>
              </w:rPr>
            </w:pPr>
            <w:r w:rsidRPr="00A01261">
              <w:rPr>
                <w:rFonts w:hAnsiTheme="minorHAnsi" w:cstheme="minorHAnsi"/>
                <w:color w:val="000000"/>
                <w:sz w:val="18"/>
                <w:szCs w:val="18"/>
              </w:rPr>
              <w:t>5 y</w:t>
            </w:r>
            <w:r w:rsidR="00F47F68">
              <w:rPr>
                <w:rFonts w:hAnsiTheme="minorHAnsi" w:cstheme="minorHAnsi"/>
                <w:color w:val="000000"/>
                <w:sz w:val="18"/>
                <w:szCs w:val="18"/>
              </w:rPr>
              <w:t>ears</w:t>
            </w:r>
            <w:r w:rsidRPr="00A01261">
              <w:rPr>
                <w:rFonts w:hAnsiTheme="minorHAnsi" w:cstheme="minorHAnsi"/>
                <w:color w:val="000000"/>
                <w:sz w:val="18"/>
                <w:szCs w:val="18"/>
              </w:rPr>
              <w:t xml:space="preserve"> </w:t>
            </w:r>
          </w:p>
        </w:tc>
        <w:tc>
          <w:tcPr>
            <w:tcW w:w="424" w:type="pct"/>
            <w:vAlign w:val="center"/>
          </w:tcPr>
          <w:p w14:paraId="2B10344D" w14:textId="79F031FA" w:rsidR="00055BB6" w:rsidRPr="00A01261" w:rsidRDefault="00055BB6" w:rsidP="00833E7F">
            <w:pPr>
              <w:pStyle w:val="Ingetavstnd"/>
              <w:rPr>
                <w:rFonts w:hAnsiTheme="minorHAnsi" w:cstheme="minorHAnsi"/>
                <w:sz w:val="18"/>
                <w:szCs w:val="18"/>
              </w:rPr>
            </w:pPr>
            <w:r>
              <w:rPr>
                <w:rFonts w:hAnsiTheme="minorHAnsi" w:cstheme="minorHAnsi"/>
                <w:color w:val="000000"/>
                <w:sz w:val="18"/>
                <w:szCs w:val="18"/>
              </w:rPr>
              <w:t>Wilcoxon’s signed-rank test and chi-square test</w:t>
            </w:r>
          </w:p>
        </w:tc>
        <w:tc>
          <w:tcPr>
            <w:tcW w:w="932" w:type="pct"/>
            <w:vAlign w:val="center"/>
          </w:tcPr>
          <w:p w14:paraId="27B33096" w14:textId="0EBA4C0B" w:rsidR="00055BB6" w:rsidRPr="00A01261" w:rsidRDefault="00055BB6" w:rsidP="00833E7F">
            <w:pPr>
              <w:pStyle w:val="Ingetavstnd"/>
              <w:rPr>
                <w:rFonts w:hAnsiTheme="minorHAnsi" w:cstheme="minorHAnsi"/>
                <w:sz w:val="18"/>
                <w:szCs w:val="18"/>
              </w:rPr>
            </w:pPr>
            <w:r w:rsidRPr="00A01261">
              <w:rPr>
                <w:rFonts w:hAnsiTheme="minorHAnsi" w:cstheme="minorHAnsi"/>
                <w:color w:val="000000"/>
                <w:sz w:val="18"/>
                <w:szCs w:val="18"/>
              </w:rPr>
              <w:t>Revision ACLR</w:t>
            </w:r>
            <w:r>
              <w:rPr>
                <w:rFonts w:hAnsiTheme="minorHAnsi" w:cstheme="minorHAnsi"/>
                <w:color w:val="000000"/>
                <w:sz w:val="18"/>
                <w:szCs w:val="18"/>
              </w:rPr>
              <w:t xml:space="preserve">s </w:t>
            </w:r>
            <w:r w:rsidRPr="00A01261">
              <w:rPr>
                <w:rFonts w:hAnsiTheme="minorHAnsi" w:cstheme="minorHAnsi"/>
                <w:color w:val="000000"/>
                <w:sz w:val="18"/>
                <w:szCs w:val="18"/>
              </w:rPr>
              <w:t xml:space="preserve">do less well than primary reconstructions in terms of </w:t>
            </w:r>
            <w:r>
              <w:rPr>
                <w:rFonts w:hAnsiTheme="minorHAnsi" w:cstheme="minorHAnsi"/>
                <w:color w:val="000000"/>
                <w:sz w:val="18"/>
                <w:szCs w:val="18"/>
              </w:rPr>
              <w:t xml:space="preserve">the </w:t>
            </w:r>
            <w:r w:rsidRPr="00A01261">
              <w:rPr>
                <w:rFonts w:hAnsiTheme="minorHAnsi" w:cstheme="minorHAnsi"/>
                <w:color w:val="000000"/>
                <w:sz w:val="18"/>
                <w:szCs w:val="18"/>
              </w:rPr>
              <w:t>KOOS. Female soccer</w:t>
            </w:r>
            <w:r>
              <w:rPr>
                <w:rFonts w:hAnsiTheme="minorHAnsi" w:cstheme="minorHAnsi"/>
                <w:color w:val="000000"/>
                <w:sz w:val="18"/>
                <w:szCs w:val="18"/>
              </w:rPr>
              <w:t xml:space="preserve"> play</w:t>
            </w:r>
            <w:r w:rsidRPr="00A01261">
              <w:rPr>
                <w:rFonts w:hAnsiTheme="minorHAnsi" w:cstheme="minorHAnsi"/>
                <w:color w:val="000000"/>
                <w:sz w:val="18"/>
                <w:szCs w:val="18"/>
              </w:rPr>
              <w:t>er</w:t>
            </w:r>
            <w:r>
              <w:rPr>
                <w:rFonts w:hAnsiTheme="minorHAnsi" w:cstheme="minorHAnsi"/>
                <w:color w:val="000000"/>
                <w:sz w:val="18"/>
                <w:szCs w:val="18"/>
              </w:rPr>
              <w:t>s</w:t>
            </w:r>
            <w:r w:rsidRPr="00A01261">
              <w:rPr>
                <w:rFonts w:hAnsiTheme="minorHAnsi" w:cstheme="minorHAnsi"/>
                <w:color w:val="000000"/>
                <w:sz w:val="18"/>
                <w:szCs w:val="18"/>
              </w:rPr>
              <w:t xml:space="preserve"> </w:t>
            </w:r>
            <w:r>
              <w:rPr>
                <w:rFonts w:hAnsiTheme="minorHAnsi" w:cstheme="minorHAnsi"/>
                <w:color w:val="000000"/>
                <w:sz w:val="18"/>
                <w:szCs w:val="18"/>
              </w:rPr>
              <w:t>run</w:t>
            </w:r>
            <w:r w:rsidRPr="00A01261">
              <w:rPr>
                <w:rFonts w:hAnsiTheme="minorHAnsi" w:cstheme="minorHAnsi"/>
                <w:color w:val="000000"/>
                <w:sz w:val="18"/>
                <w:szCs w:val="18"/>
              </w:rPr>
              <w:t xml:space="preserve"> an increased </w:t>
            </w:r>
            <w:r>
              <w:rPr>
                <w:rFonts w:hAnsiTheme="minorHAnsi" w:cstheme="minorHAnsi"/>
                <w:color w:val="000000"/>
                <w:sz w:val="18"/>
                <w:szCs w:val="18"/>
              </w:rPr>
              <w:t>risk of</w:t>
            </w:r>
            <w:r w:rsidRPr="00A01261">
              <w:rPr>
                <w:rFonts w:hAnsiTheme="minorHAnsi" w:cstheme="minorHAnsi"/>
                <w:color w:val="000000"/>
                <w:sz w:val="18"/>
                <w:szCs w:val="18"/>
              </w:rPr>
              <w:t xml:space="preserve"> contralateral or revision ACLR.</w:t>
            </w:r>
          </w:p>
        </w:tc>
      </w:tr>
      <w:tr w:rsidR="00055BB6" w:rsidRPr="00A01261" w14:paraId="48C66721" w14:textId="77777777" w:rsidTr="00D80A55">
        <w:tc>
          <w:tcPr>
            <w:tcW w:w="448" w:type="pct"/>
            <w:vAlign w:val="center"/>
          </w:tcPr>
          <w:p w14:paraId="76C86E85" w14:textId="4F59D78F" w:rsidR="00055BB6" w:rsidRPr="00A01261" w:rsidRDefault="00055BB6" w:rsidP="00833E7F">
            <w:pPr>
              <w:pStyle w:val="Ingetavstnd"/>
              <w:rPr>
                <w:rFonts w:hAnsiTheme="minorHAnsi" w:cstheme="minorHAnsi"/>
                <w:sz w:val="18"/>
                <w:szCs w:val="18"/>
              </w:rPr>
            </w:pPr>
            <w:r>
              <w:rPr>
                <w:rFonts w:hAnsiTheme="minorHAnsi" w:cstheme="minorHAnsi"/>
                <w:sz w:val="18"/>
                <w:szCs w:val="18"/>
              </w:rPr>
              <w:t>Ardern et al (2016)</w:t>
            </w:r>
          </w:p>
        </w:tc>
        <w:tc>
          <w:tcPr>
            <w:tcW w:w="290" w:type="pct"/>
            <w:vAlign w:val="center"/>
          </w:tcPr>
          <w:p w14:paraId="268302C9" w14:textId="3B057251" w:rsidR="00055BB6" w:rsidRDefault="00055BB6" w:rsidP="00833E7F">
            <w:pPr>
              <w:pStyle w:val="Ingetavstnd"/>
              <w:jc w:val="center"/>
              <w:rPr>
                <w:rFonts w:hAnsiTheme="minorHAnsi" w:cstheme="minorHAnsi"/>
                <w:color w:val="000000"/>
                <w:sz w:val="18"/>
                <w:szCs w:val="18"/>
              </w:rPr>
            </w:pPr>
            <w:proofErr w:type="spellStart"/>
            <w:r>
              <w:rPr>
                <w:rFonts w:hAnsiTheme="minorHAnsi" w:cstheme="minorHAnsi"/>
                <w:color w:val="000000"/>
                <w:sz w:val="18"/>
                <w:szCs w:val="18"/>
              </w:rPr>
              <w:t>Swe</w:t>
            </w:r>
            <w:proofErr w:type="spellEnd"/>
          </w:p>
        </w:tc>
        <w:tc>
          <w:tcPr>
            <w:tcW w:w="260" w:type="pct"/>
            <w:vAlign w:val="center"/>
          </w:tcPr>
          <w:p w14:paraId="31B0F573" w14:textId="7C038DF6" w:rsidR="00055BB6" w:rsidRDefault="00DB2FFA" w:rsidP="00DA77BC">
            <w:pPr>
              <w:pStyle w:val="Ingetavstnd"/>
              <w:jc w:val="center"/>
              <w:rPr>
                <w:rFonts w:hAnsiTheme="minorHAnsi" w:cstheme="minorHAnsi"/>
                <w:color w:val="000000"/>
                <w:sz w:val="18"/>
                <w:szCs w:val="18"/>
              </w:rPr>
            </w:pPr>
            <w:r>
              <w:rPr>
                <w:rFonts w:hAnsiTheme="minorHAnsi" w:cstheme="minorHAnsi"/>
                <w:color w:val="000000"/>
                <w:sz w:val="18"/>
                <w:szCs w:val="18"/>
              </w:rPr>
              <w:t>14</w:t>
            </w:r>
          </w:p>
        </w:tc>
        <w:tc>
          <w:tcPr>
            <w:tcW w:w="710" w:type="pct"/>
            <w:vAlign w:val="center"/>
          </w:tcPr>
          <w:p w14:paraId="0244CAF9" w14:textId="6B7990B2" w:rsidR="00055BB6" w:rsidRPr="00A01261" w:rsidRDefault="00055BB6" w:rsidP="00833E7F">
            <w:pPr>
              <w:pStyle w:val="Ingetavstnd"/>
              <w:rPr>
                <w:rFonts w:hAnsiTheme="minorHAnsi" w:cstheme="minorHAnsi"/>
                <w:sz w:val="18"/>
                <w:szCs w:val="18"/>
              </w:rPr>
            </w:pPr>
            <w:r>
              <w:rPr>
                <w:rFonts w:hAnsiTheme="minorHAnsi" w:cstheme="minorHAnsi"/>
                <w:color w:val="000000"/>
                <w:sz w:val="18"/>
                <w:szCs w:val="18"/>
              </w:rPr>
              <w:t>Comparis</w:t>
            </w:r>
            <w:r w:rsidRPr="00A15482">
              <w:rPr>
                <w:rFonts w:hAnsiTheme="minorHAnsi" w:cstheme="minorHAnsi"/>
                <w:color w:val="000000"/>
                <w:sz w:val="18"/>
                <w:szCs w:val="18"/>
              </w:rPr>
              <w:t>on of patient-reported outcomes among those who chose ACLR or non-surgical treatment</w:t>
            </w:r>
          </w:p>
        </w:tc>
        <w:tc>
          <w:tcPr>
            <w:tcW w:w="477" w:type="pct"/>
            <w:vAlign w:val="center"/>
          </w:tcPr>
          <w:p w14:paraId="242B603E" w14:textId="603A65A0" w:rsidR="00055BB6" w:rsidRPr="00A01261" w:rsidRDefault="00055BB6" w:rsidP="00833E7F">
            <w:pPr>
              <w:pStyle w:val="Ingetavstnd"/>
              <w:rPr>
                <w:rFonts w:hAnsiTheme="minorHAnsi" w:cstheme="minorHAnsi"/>
                <w:sz w:val="18"/>
                <w:szCs w:val="18"/>
              </w:rPr>
            </w:pPr>
            <w:r>
              <w:rPr>
                <w:rFonts w:ascii="Calibri" w:hAnsi="Calibri"/>
                <w:color w:val="000000"/>
                <w:sz w:val="18"/>
                <w:szCs w:val="18"/>
              </w:rPr>
              <w:t>To compare PROMs between patients who undergo ACL reconstruction and patients who choose non-surgical treatment</w:t>
            </w:r>
          </w:p>
        </w:tc>
        <w:tc>
          <w:tcPr>
            <w:tcW w:w="574" w:type="pct"/>
            <w:vAlign w:val="center"/>
          </w:tcPr>
          <w:p w14:paraId="2F17DD54" w14:textId="3B599932" w:rsidR="00055BB6" w:rsidRPr="00A01261" w:rsidRDefault="00055BB6" w:rsidP="00833E7F">
            <w:pPr>
              <w:pStyle w:val="Ingetavstnd"/>
              <w:rPr>
                <w:rFonts w:hAnsiTheme="minorHAnsi" w:cstheme="minorHAnsi"/>
                <w:sz w:val="18"/>
                <w:szCs w:val="18"/>
              </w:rPr>
            </w:pPr>
            <w:r>
              <w:rPr>
                <w:rFonts w:hAnsiTheme="minorHAnsi" w:cstheme="minorHAnsi"/>
                <w:color w:val="000000"/>
                <w:sz w:val="18"/>
                <w:szCs w:val="18"/>
              </w:rPr>
              <w:t>KOOS and EQ5-D</w:t>
            </w:r>
          </w:p>
        </w:tc>
        <w:tc>
          <w:tcPr>
            <w:tcW w:w="441" w:type="pct"/>
            <w:vAlign w:val="center"/>
          </w:tcPr>
          <w:p w14:paraId="4192AFD7" w14:textId="46933773" w:rsidR="00055BB6" w:rsidRPr="00A01261" w:rsidRDefault="00055BB6" w:rsidP="00833E7F">
            <w:pPr>
              <w:pStyle w:val="Ingetavstnd"/>
              <w:rPr>
                <w:rFonts w:hAnsiTheme="minorHAnsi" w:cstheme="minorHAnsi"/>
                <w:sz w:val="18"/>
                <w:szCs w:val="18"/>
              </w:rPr>
            </w:pPr>
            <w:r>
              <w:rPr>
                <w:rFonts w:hAnsiTheme="minorHAnsi" w:cstheme="minorHAnsi"/>
                <w:color w:val="000000"/>
                <w:sz w:val="18"/>
                <w:szCs w:val="18"/>
              </w:rPr>
              <w:t>N = 879 with non-surgical treatment</w:t>
            </w:r>
            <w:r w:rsidR="00DD08C0">
              <w:rPr>
                <w:rFonts w:hAnsiTheme="minorHAnsi" w:cstheme="minorHAnsi"/>
                <w:color w:val="000000"/>
                <w:sz w:val="18"/>
                <w:szCs w:val="18"/>
              </w:rPr>
              <w:t xml:space="preserve"> compared to N = 879 with primary ACLR</w:t>
            </w:r>
          </w:p>
        </w:tc>
        <w:tc>
          <w:tcPr>
            <w:tcW w:w="444" w:type="pct"/>
            <w:vAlign w:val="center"/>
          </w:tcPr>
          <w:p w14:paraId="33709A28" w14:textId="775B91EB" w:rsidR="00055BB6" w:rsidRPr="00A01261" w:rsidRDefault="00055BB6" w:rsidP="00833E7F">
            <w:pPr>
              <w:pStyle w:val="Ingetavstnd"/>
              <w:rPr>
                <w:rFonts w:hAnsiTheme="minorHAnsi" w:cstheme="minorHAnsi"/>
                <w:sz w:val="18"/>
                <w:szCs w:val="18"/>
              </w:rPr>
            </w:pPr>
            <w:r>
              <w:rPr>
                <w:rFonts w:hAnsiTheme="minorHAnsi" w:cstheme="minorHAnsi"/>
                <w:color w:val="000000"/>
                <w:sz w:val="18"/>
                <w:szCs w:val="18"/>
              </w:rPr>
              <w:t>1, 2 and 5 y</w:t>
            </w:r>
            <w:r w:rsidR="00F47F68">
              <w:rPr>
                <w:rFonts w:hAnsiTheme="minorHAnsi" w:cstheme="minorHAnsi"/>
                <w:color w:val="000000"/>
                <w:sz w:val="18"/>
                <w:szCs w:val="18"/>
              </w:rPr>
              <w:t>ears</w:t>
            </w:r>
          </w:p>
        </w:tc>
        <w:tc>
          <w:tcPr>
            <w:tcW w:w="424" w:type="pct"/>
            <w:vAlign w:val="center"/>
          </w:tcPr>
          <w:p w14:paraId="01D6BC37" w14:textId="14DF6340" w:rsidR="00055BB6" w:rsidRPr="00A01261" w:rsidRDefault="00055BB6" w:rsidP="00833E7F">
            <w:pPr>
              <w:pStyle w:val="Ingetavstnd"/>
              <w:rPr>
                <w:rFonts w:hAnsiTheme="minorHAnsi" w:cstheme="minorHAnsi"/>
                <w:sz w:val="18"/>
                <w:szCs w:val="18"/>
              </w:rPr>
            </w:pPr>
            <w:r>
              <w:rPr>
                <w:rFonts w:hAnsiTheme="minorHAnsi" w:cstheme="minorHAnsi"/>
                <w:color w:val="000000"/>
                <w:sz w:val="18"/>
                <w:szCs w:val="18"/>
              </w:rPr>
              <w:t>Independent sample t-test</w:t>
            </w:r>
          </w:p>
        </w:tc>
        <w:tc>
          <w:tcPr>
            <w:tcW w:w="932" w:type="pct"/>
            <w:vAlign w:val="center"/>
          </w:tcPr>
          <w:p w14:paraId="58EF42D9" w14:textId="77777777" w:rsidR="00055BB6" w:rsidRDefault="00055BB6" w:rsidP="00833E7F">
            <w:pPr>
              <w:rPr>
                <w:rFonts w:ascii="Calibri" w:hAnsi="Calibri"/>
                <w:color w:val="000000"/>
                <w:sz w:val="18"/>
                <w:szCs w:val="18"/>
              </w:rPr>
            </w:pPr>
            <w:r>
              <w:rPr>
                <w:rFonts w:ascii="Calibri" w:hAnsi="Calibri"/>
                <w:color w:val="000000"/>
                <w:sz w:val="18"/>
                <w:szCs w:val="18"/>
              </w:rPr>
              <w:t xml:space="preserve">Patients undergoing surgical treatment after ACL injury might rate the knee function and quality of life as superior compared with non-surgically treated patients at short- and medium-term follow-up. </w:t>
            </w:r>
          </w:p>
          <w:p w14:paraId="25FF28A1" w14:textId="6CA181DD" w:rsidR="00055BB6" w:rsidRPr="00A01261" w:rsidRDefault="00055BB6" w:rsidP="00833E7F">
            <w:pPr>
              <w:pStyle w:val="Ingetavstnd"/>
              <w:rPr>
                <w:rFonts w:hAnsiTheme="minorHAnsi" w:cstheme="minorHAnsi"/>
                <w:sz w:val="18"/>
                <w:szCs w:val="18"/>
              </w:rPr>
            </w:pPr>
          </w:p>
        </w:tc>
      </w:tr>
      <w:tr w:rsidR="00055BB6" w:rsidRPr="00A01261" w14:paraId="4A06AAD2" w14:textId="77777777" w:rsidTr="00D80A55">
        <w:tc>
          <w:tcPr>
            <w:tcW w:w="448" w:type="pct"/>
            <w:vAlign w:val="center"/>
          </w:tcPr>
          <w:p w14:paraId="6D5FE786" w14:textId="51B56ED2" w:rsidR="00055BB6" w:rsidRDefault="00055BB6" w:rsidP="00833E7F">
            <w:pPr>
              <w:pStyle w:val="Ingetavstnd"/>
              <w:rPr>
                <w:rFonts w:hAnsiTheme="minorHAnsi" w:cstheme="minorHAnsi"/>
                <w:sz w:val="18"/>
                <w:szCs w:val="18"/>
              </w:rPr>
            </w:pPr>
            <w:proofErr w:type="spellStart"/>
            <w:r w:rsidRPr="00A15482">
              <w:rPr>
                <w:rFonts w:hAnsiTheme="minorHAnsi" w:cstheme="minorHAnsi"/>
                <w:sz w:val="18"/>
                <w:szCs w:val="18"/>
              </w:rPr>
              <w:t>Årøen</w:t>
            </w:r>
            <w:proofErr w:type="spellEnd"/>
            <w:r>
              <w:rPr>
                <w:rFonts w:hAnsiTheme="minorHAnsi" w:cstheme="minorHAnsi"/>
                <w:sz w:val="18"/>
                <w:szCs w:val="18"/>
              </w:rPr>
              <w:t xml:space="preserve"> et al</w:t>
            </w:r>
            <w:r w:rsidRPr="00A15482">
              <w:rPr>
                <w:rFonts w:hAnsiTheme="minorHAnsi" w:cstheme="minorHAnsi"/>
                <w:sz w:val="18"/>
                <w:szCs w:val="18"/>
              </w:rPr>
              <w:t xml:space="preserve"> </w:t>
            </w:r>
          </w:p>
          <w:p w14:paraId="5AE119F3" w14:textId="1341DFE4" w:rsidR="00055BB6" w:rsidRPr="00A01261" w:rsidRDefault="00055BB6" w:rsidP="00833E7F">
            <w:pPr>
              <w:pStyle w:val="Ingetavstnd"/>
              <w:rPr>
                <w:rFonts w:hAnsiTheme="minorHAnsi" w:cstheme="minorHAnsi"/>
                <w:sz w:val="18"/>
                <w:szCs w:val="18"/>
              </w:rPr>
            </w:pPr>
            <w:r w:rsidRPr="00A15482">
              <w:rPr>
                <w:rFonts w:hAnsiTheme="minorHAnsi" w:cstheme="minorHAnsi"/>
                <w:sz w:val="18"/>
                <w:szCs w:val="18"/>
              </w:rPr>
              <w:t>(2013)</w:t>
            </w:r>
          </w:p>
        </w:tc>
        <w:tc>
          <w:tcPr>
            <w:tcW w:w="290" w:type="pct"/>
            <w:vAlign w:val="center"/>
          </w:tcPr>
          <w:p w14:paraId="4B80AFA8" w14:textId="3F383A07" w:rsidR="00055BB6" w:rsidRPr="00A01261" w:rsidRDefault="00055BB6" w:rsidP="00833E7F">
            <w:pPr>
              <w:pStyle w:val="Ingetavstnd"/>
              <w:jc w:val="center"/>
              <w:rPr>
                <w:rFonts w:hAnsiTheme="minorHAnsi" w:cstheme="minorHAnsi"/>
                <w:color w:val="000000"/>
                <w:sz w:val="18"/>
                <w:szCs w:val="18"/>
              </w:rPr>
            </w:pPr>
            <w:r>
              <w:rPr>
                <w:rFonts w:hAnsiTheme="minorHAnsi" w:cstheme="minorHAnsi"/>
                <w:color w:val="000000"/>
                <w:sz w:val="18"/>
                <w:szCs w:val="18"/>
              </w:rPr>
              <w:t>Nor</w:t>
            </w:r>
          </w:p>
        </w:tc>
        <w:tc>
          <w:tcPr>
            <w:tcW w:w="260" w:type="pct"/>
            <w:vAlign w:val="center"/>
          </w:tcPr>
          <w:p w14:paraId="5EE20A00" w14:textId="1307DB57" w:rsidR="00055BB6" w:rsidRDefault="00DB2FFA" w:rsidP="00DA77BC">
            <w:pPr>
              <w:pStyle w:val="Ingetavstnd"/>
              <w:jc w:val="center"/>
              <w:rPr>
                <w:rFonts w:ascii="Calibri" w:hAnsi="Calibri"/>
                <w:color w:val="000000"/>
                <w:sz w:val="18"/>
                <w:szCs w:val="18"/>
              </w:rPr>
            </w:pPr>
            <w:r>
              <w:rPr>
                <w:rFonts w:ascii="Calibri" w:hAnsi="Calibri"/>
                <w:color w:val="000000"/>
                <w:sz w:val="18"/>
                <w:szCs w:val="18"/>
              </w:rPr>
              <w:t>16</w:t>
            </w:r>
          </w:p>
        </w:tc>
        <w:tc>
          <w:tcPr>
            <w:tcW w:w="710" w:type="pct"/>
            <w:vAlign w:val="center"/>
          </w:tcPr>
          <w:p w14:paraId="08AD7285" w14:textId="6CC50F1F" w:rsidR="00055BB6" w:rsidRPr="00A01261" w:rsidRDefault="00055BB6" w:rsidP="00833E7F">
            <w:pPr>
              <w:pStyle w:val="Ingetavstnd"/>
              <w:rPr>
                <w:rFonts w:hAnsiTheme="minorHAnsi" w:cstheme="minorHAnsi"/>
                <w:sz w:val="18"/>
                <w:szCs w:val="18"/>
              </w:rPr>
            </w:pPr>
            <w:r>
              <w:rPr>
                <w:rFonts w:ascii="Calibri" w:hAnsi="Calibri"/>
                <w:color w:val="000000"/>
                <w:sz w:val="18"/>
                <w:szCs w:val="18"/>
              </w:rPr>
              <w:t>An isolated rupture of the PCL results in reduced preoperative knee function in comparison with an ACL injury</w:t>
            </w:r>
          </w:p>
        </w:tc>
        <w:tc>
          <w:tcPr>
            <w:tcW w:w="477" w:type="pct"/>
            <w:vAlign w:val="center"/>
          </w:tcPr>
          <w:p w14:paraId="010F19BC" w14:textId="6F1BAE45" w:rsidR="00055BB6" w:rsidRPr="00A01261" w:rsidRDefault="00055BB6" w:rsidP="00833E7F">
            <w:pPr>
              <w:pStyle w:val="Ingetavstnd"/>
              <w:rPr>
                <w:rFonts w:hAnsiTheme="minorHAnsi" w:cstheme="minorHAnsi"/>
                <w:sz w:val="18"/>
                <w:szCs w:val="18"/>
              </w:rPr>
            </w:pPr>
            <w:r>
              <w:rPr>
                <w:rFonts w:ascii="Calibri" w:hAnsi="Calibri"/>
                <w:color w:val="000000"/>
                <w:sz w:val="18"/>
                <w:szCs w:val="18"/>
              </w:rPr>
              <w:t>To compare baseline data between primary isolated PCL and ACL reconstruction</w:t>
            </w:r>
          </w:p>
        </w:tc>
        <w:tc>
          <w:tcPr>
            <w:tcW w:w="574" w:type="pct"/>
            <w:vAlign w:val="center"/>
          </w:tcPr>
          <w:p w14:paraId="3B5AE45D" w14:textId="13F98747" w:rsidR="00055BB6" w:rsidRPr="00A01261" w:rsidRDefault="00055BB6" w:rsidP="00833E7F">
            <w:pPr>
              <w:pStyle w:val="Ingetavstnd"/>
              <w:rPr>
                <w:rFonts w:hAnsiTheme="minorHAnsi" w:cstheme="minorHAnsi"/>
                <w:sz w:val="18"/>
                <w:szCs w:val="18"/>
              </w:rPr>
            </w:pPr>
            <w:r>
              <w:rPr>
                <w:rFonts w:ascii="Calibri" w:hAnsi="Calibri"/>
                <w:color w:val="000000"/>
                <w:sz w:val="18"/>
                <w:szCs w:val="18"/>
              </w:rPr>
              <w:t>KOOS, time to surgery, concomitant injuries</w:t>
            </w:r>
          </w:p>
        </w:tc>
        <w:tc>
          <w:tcPr>
            <w:tcW w:w="441" w:type="pct"/>
            <w:vAlign w:val="center"/>
          </w:tcPr>
          <w:p w14:paraId="66C76C28" w14:textId="77777777" w:rsidR="00055BB6" w:rsidRDefault="00055BB6" w:rsidP="00833E7F">
            <w:pPr>
              <w:rPr>
                <w:rFonts w:ascii="Calibri" w:hAnsi="Calibri"/>
                <w:color w:val="000000"/>
                <w:sz w:val="18"/>
                <w:szCs w:val="18"/>
              </w:rPr>
            </w:pPr>
            <w:r>
              <w:rPr>
                <w:rFonts w:ascii="Calibri" w:hAnsi="Calibri"/>
                <w:color w:val="000000"/>
                <w:sz w:val="18"/>
                <w:szCs w:val="18"/>
              </w:rPr>
              <w:t>N = 9,622</w:t>
            </w:r>
          </w:p>
          <w:p w14:paraId="0B8D31AC" w14:textId="77777777" w:rsidR="00055BB6" w:rsidRDefault="00055BB6" w:rsidP="00833E7F">
            <w:pPr>
              <w:rPr>
                <w:rFonts w:ascii="Calibri" w:hAnsi="Calibri"/>
                <w:color w:val="000000"/>
                <w:sz w:val="18"/>
                <w:szCs w:val="18"/>
              </w:rPr>
            </w:pPr>
            <w:r>
              <w:rPr>
                <w:rFonts w:ascii="Calibri" w:hAnsi="Calibri"/>
                <w:color w:val="000000"/>
                <w:sz w:val="18"/>
                <w:szCs w:val="18"/>
              </w:rPr>
              <w:t xml:space="preserve">ACL = 9,551 (F = 36%) </w:t>
            </w:r>
          </w:p>
          <w:p w14:paraId="28F79DED" w14:textId="42B73F9E" w:rsidR="00055BB6" w:rsidRPr="00A01261" w:rsidRDefault="00055BB6" w:rsidP="00833E7F">
            <w:pPr>
              <w:pStyle w:val="Ingetavstnd"/>
              <w:rPr>
                <w:rFonts w:hAnsiTheme="minorHAnsi" w:cstheme="minorHAnsi"/>
                <w:sz w:val="18"/>
                <w:szCs w:val="18"/>
              </w:rPr>
            </w:pPr>
            <w:r>
              <w:rPr>
                <w:rFonts w:ascii="Calibri" w:hAnsi="Calibri"/>
                <w:color w:val="000000"/>
                <w:sz w:val="18"/>
                <w:szCs w:val="18"/>
              </w:rPr>
              <w:t>PCL = 71 (F = 36%)</w:t>
            </w:r>
          </w:p>
        </w:tc>
        <w:tc>
          <w:tcPr>
            <w:tcW w:w="444" w:type="pct"/>
            <w:vAlign w:val="center"/>
          </w:tcPr>
          <w:p w14:paraId="3E725FBE" w14:textId="7FDA0450" w:rsidR="00055BB6" w:rsidRPr="00A01261" w:rsidRDefault="00055BB6" w:rsidP="00833E7F">
            <w:pPr>
              <w:pStyle w:val="Ingetavstnd"/>
              <w:rPr>
                <w:rFonts w:hAnsiTheme="minorHAnsi" w:cstheme="minorHAnsi"/>
                <w:sz w:val="18"/>
                <w:szCs w:val="18"/>
              </w:rPr>
            </w:pPr>
            <w:r>
              <w:rPr>
                <w:rFonts w:hAnsiTheme="minorHAnsi" w:cstheme="minorHAnsi"/>
                <w:color w:val="000000"/>
                <w:sz w:val="18"/>
                <w:szCs w:val="18"/>
              </w:rPr>
              <w:t>Preop</w:t>
            </w:r>
            <w:r w:rsidR="00F47F68">
              <w:rPr>
                <w:rFonts w:hAnsiTheme="minorHAnsi" w:cstheme="minorHAnsi"/>
                <w:color w:val="000000"/>
                <w:sz w:val="18"/>
                <w:szCs w:val="18"/>
              </w:rPr>
              <w:t>erative</w:t>
            </w:r>
          </w:p>
        </w:tc>
        <w:tc>
          <w:tcPr>
            <w:tcW w:w="424" w:type="pct"/>
            <w:vAlign w:val="center"/>
          </w:tcPr>
          <w:p w14:paraId="44CFE346" w14:textId="0FB458BE" w:rsidR="00055BB6" w:rsidRPr="00A01261" w:rsidRDefault="00055BB6" w:rsidP="00833E7F">
            <w:pPr>
              <w:pStyle w:val="Ingetavstnd"/>
              <w:rPr>
                <w:rFonts w:hAnsiTheme="minorHAnsi" w:cstheme="minorHAnsi"/>
                <w:sz w:val="18"/>
                <w:szCs w:val="18"/>
              </w:rPr>
            </w:pPr>
            <w:r>
              <w:rPr>
                <w:rFonts w:hAnsiTheme="minorHAnsi" w:cstheme="minorHAnsi"/>
                <w:color w:val="000000"/>
                <w:sz w:val="18"/>
                <w:szCs w:val="18"/>
              </w:rPr>
              <w:t>Linear regression, Wilcoxon’s rank test and chi-square test</w:t>
            </w:r>
          </w:p>
        </w:tc>
        <w:tc>
          <w:tcPr>
            <w:tcW w:w="932" w:type="pct"/>
            <w:vAlign w:val="center"/>
          </w:tcPr>
          <w:p w14:paraId="14BD1A89" w14:textId="70340A4C" w:rsidR="00055BB6" w:rsidRDefault="00055BB6" w:rsidP="00833E7F">
            <w:pPr>
              <w:rPr>
                <w:rFonts w:ascii="Calibri" w:hAnsi="Calibri"/>
                <w:color w:val="000000"/>
                <w:sz w:val="18"/>
                <w:szCs w:val="18"/>
              </w:rPr>
            </w:pPr>
            <w:r>
              <w:rPr>
                <w:rFonts w:ascii="Calibri" w:hAnsi="Calibri"/>
                <w:color w:val="000000"/>
                <w:sz w:val="18"/>
                <w:szCs w:val="18"/>
              </w:rPr>
              <w:t>Isolated PCL-injured knees demonstrated significantly inferior preoperative knee function in comparison with the isolated ACL-injured knee</w:t>
            </w:r>
            <w:r w:rsidR="00291958">
              <w:rPr>
                <w:rFonts w:ascii="Calibri" w:hAnsi="Calibri"/>
                <w:color w:val="000000"/>
                <w:sz w:val="18"/>
                <w:szCs w:val="18"/>
              </w:rPr>
              <w:t>s</w:t>
            </w:r>
            <w:r>
              <w:rPr>
                <w:rFonts w:ascii="Calibri" w:hAnsi="Calibri"/>
                <w:color w:val="000000"/>
                <w:sz w:val="18"/>
                <w:szCs w:val="18"/>
              </w:rPr>
              <w:t xml:space="preserve"> scheduled for surgery.</w:t>
            </w:r>
          </w:p>
          <w:p w14:paraId="764ED9CE" w14:textId="137DA88B" w:rsidR="00055BB6" w:rsidRPr="00A01261" w:rsidRDefault="00055BB6" w:rsidP="00833E7F">
            <w:pPr>
              <w:pStyle w:val="Ingetavstnd"/>
              <w:rPr>
                <w:rFonts w:hAnsiTheme="minorHAnsi" w:cstheme="minorHAnsi"/>
                <w:sz w:val="18"/>
                <w:szCs w:val="18"/>
              </w:rPr>
            </w:pPr>
          </w:p>
        </w:tc>
      </w:tr>
      <w:tr w:rsidR="00D80A55" w:rsidRPr="00A01261" w14:paraId="711B2991" w14:textId="77777777" w:rsidTr="00D80A55">
        <w:tc>
          <w:tcPr>
            <w:tcW w:w="448" w:type="pct"/>
            <w:vAlign w:val="center"/>
          </w:tcPr>
          <w:p w14:paraId="2A1A026D" w14:textId="4E17AEB6" w:rsidR="00D80A55" w:rsidRDefault="00D80A55" w:rsidP="00D80A55">
            <w:pPr>
              <w:pStyle w:val="Ingetavstnd"/>
              <w:rPr>
                <w:rFonts w:hAnsiTheme="minorHAnsi" w:cstheme="minorHAnsi"/>
                <w:sz w:val="18"/>
                <w:szCs w:val="18"/>
              </w:rPr>
            </w:pPr>
            <w:proofErr w:type="spellStart"/>
            <w:r>
              <w:rPr>
                <w:rFonts w:hAnsiTheme="minorHAnsi" w:cstheme="minorHAnsi"/>
                <w:sz w:val="18"/>
                <w:szCs w:val="18"/>
              </w:rPr>
              <w:lastRenderedPageBreak/>
              <w:t>Balasingam</w:t>
            </w:r>
            <w:proofErr w:type="spellEnd"/>
            <w:r>
              <w:rPr>
                <w:rFonts w:hAnsiTheme="minorHAnsi" w:cstheme="minorHAnsi"/>
                <w:sz w:val="18"/>
                <w:szCs w:val="18"/>
              </w:rPr>
              <w:t xml:space="preserve"> et al (2018</w:t>
            </w:r>
            <w:r>
              <w:rPr>
                <w:rFonts w:hAnsiTheme="minorHAnsi" w:cstheme="minorHAnsi"/>
                <w:sz w:val="18"/>
                <w:szCs w:val="18"/>
              </w:rPr>
              <w:t>)</w:t>
            </w:r>
          </w:p>
        </w:tc>
        <w:tc>
          <w:tcPr>
            <w:tcW w:w="290" w:type="pct"/>
            <w:vAlign w:val="center"/>
          </w:tcPr>
          <w:p w14:paraId="42DBCB77" w14:textId="3ED8160A" w:rsidR="00D80A55" w:rsidRDefault="00D80A55" w:rsidP="00D80A55">
            <w:pPr>
              <w:pStyle w:val="Ingetavstnd"/>
              <w:jc w:val="center"/>
              <w:rPr>
                <w:rFonts w:hAnsiTheme="minorHAnsi" w:cstheme="minorHAnsi"/>
                <w:color w:val="000000"/>
                <w:sz w:val="18"/>
                <w:szCs w:val="18"/>
              </w:rPr>
            </w:pPr>
            <w:proofErr w:type="spellStart"/>
            <w:r>
              <w:rPr>
                <w:rFonts w:hAnsiTheme="minorHAnsi" w:cstheme="minorHAnsi"/>
                <w:color w:val="000000"/>
                <w:sz w:val="18"/>
                <w:szCs w:val="18"/>
              </w:rPr>
              <w:t>Swe</w:t>
            </w:r>
            <w:proofErr w:type="spellEnd"/>
          </w:p>
        </w:tc>
        <w:tc>
          <w:tcPr>
            <w:tcW w:w="260" w:type="pct"/>
            <w:vAlign w:val="center"/>
          </w:tcPr>
          <w:p w14:paraId="05197318" w14:textId="0F3CA142" w:rsidR="00D80A55" w:rsidRDefault="00D80A55" w:rsidP="00D80A55">
            <w:pPr>
              <w:jc w:val="center"/>
              <w:rPr>
                <w:rFonts w:ascii="Calibri" w:hAnsi="Calibri"/>
                <w:color w:val="000000"/>
                <w:sz w:val="18"/>
                <w:szCs w:val="18"/>
              </w:rPr>
            </w:pPr>
            <w:r>
              <w:rPr>
                <w:rFonts w:hAnsiTheme="minorHAnsi" w:cstheme="minorHAnsi"/>
                <w:color w:val="000000"/>
                <w:sz w:val="18"/>
                <w:szCs w:val="18"/>
              </w:rPr>
              <w:t>13</w:t>
            </w:r>
          </w:p>
        </w:tc>
        <w:tc>
          <w:tcPr>
            <w:tcW w:w="710" w:type="pct"/>
            <w:vAlign w:val="center"/>
          </w:tcPr>
          <w:p w14:paraId="3C61118C" w14:textId="58B222CD" w:rsidR="00D80A55" w:rsidRDefault="00D80A55" w:rsidP="00D80A55">
            <w:pPr>
              <w:rPr>
                <w:rFonts w:ascii="Calibri" w:hAnsi="Calibri"/>
                <w:color w:val="000000"/>
                <w:sz w:val="18"/>
                <w:szCs w:val="18"/>
              </w:rPr>
            </w:pPr>
            <w:r>
              <w:rPr>
                <w:rFonts w:hAnsiTheme="minorHAnsi" w:cstheme="minorHAnsi"/>
                <w:sz w:val="18"/>
                <w:szCs w:val="18"/>
              </w:rPr>
              <w:t>Patients with concomitant intra-articular lesions at index surgery deteriorate in their KOOS in the long term more than patients with isolated ACL rupture: a study from the SNKLR</w:t>
            </w:r>
          </w:p>
        </w:tc>
        <w:tc>
          <w:tcPr>
            <w:tcW w:w="477" w:type="pct"/>
            <w:vAlign w:val="center"/>
          </w:tcPr>
          <w:p w14:paraId="72EAF9AE" w14:textId="44EE08F0" w:rsidR="00D80A55" w:rsidRDefault="00D80A55" w:rsidP="00D80A55">
            <w:pPr>
              <w:pStyle w:val="Ingetavstnd"/>
              <w:rPr>
                <w:rFonts w:ascii="Calibri" w:hAnsi="Calibri"/>
                <w:color w:val="000000"/>
                <w:sz w:val="18"/>
                <w:szCs w:val="18"/>
              </w:rPr>
            </w:pPr>
            <w:r>
              <w:rPr>
                <w:rFonts w:hAnsiTheme="minorHAnsi" w:cstheme="minorHAnsi"/>
                <w:sz w:val="18"/>
                <w:szCs w:val="18"/>
              </w:rPr>
              <w:t xml:space="preserve">To compare clinical outcomes at 5 and 10 years between patients with isolated ACLR and patients with concomitant intra-articular injuries. </w:t>
            </w:r>
          </w:p>
        </w:tc>
        <w:tc>
          <w:tcPr>
            <w:tcW w:w="574" w:type="pct"/>
            <w:vAlign w:val="center"/>
          </w:tcPr>
          <w:p w14:paraId="3B796F8A" w14:textId="7AD9B055" w:rsidR="00D80A55" w:rsidRDefault="00D80A55" w:rsidP="00D80A55">
            <w:pPr>
              <w:pStyle w:val="Ingetavstnd"/>
              <w:rPr>
                <w:rFonts w:ascii="Calibri" w:hAnsi="Calibri"/>
                <w:color w:val="000000"/>
                <w:sz w:val="18"/>
                <w:szCs w:val="18"/>
              </w:rPr>
            </w:pPr>
            <w:r>
              <w:rPr>
                <w:rFonts w:hAnsiTheme="minorHAnsi" w:cstheme="minorHAnsi"/>
                <w:sz w:val="18"/>
                <w:szCs w:val="18"/>
              </w:rPr>
              <w:t xml:space="preserve">KOOS subscales pain, symptoms, function in sport and recreation, and </w:t>
            </w:r>
            <w:proofErr w:type="spellStart"/>
            <w:r>
              <w:rPr>
                <w:rFonts w:hAnsiTheme="minorHAnsi" w:cstheme="minorHAnsi"/>
                <w:sz w:val="18"/>
                <w:szCs w:val="18"/>
              </w:rPr>
              <w:t>QoL</w:t>
            </w:r>
            <w:proofErr w:type="spellEnd"/>
          </w:p>
        </w:tc>
        <w:tc>
          <w:tcPr>
            <w:tcW w:w="441" w:type="pct"/>
            <w:vAlign w:val="center"/>
          </w:tcPr>
          <w:p w14:paraId="3CB8C731" w14:textId="0C4EA238" w:rsidR="00D80A55" w:rsidRDefault="00D80A55" w:rsidP="00D80A55">
            <w:pPr>
              <w:rPr>
                <w:rFonts w:ascii="Calibri" w:hAnsi="Calibri"/>
                <w:color w:val="000000"/>
                <w:sz w:val="18"/>
                <w:szCs w:val="18"/>
              </w:rPr>
            </w:pPr>
            <w:r>
              <w:rPr>
                <w:rFonts w:hAnsiTheme="minorHAnsi" w:cstheme="minorHAnsi"/>
                <w:sz w:val="18"/>
                <w:szCs w:val="18"/>
              </w:rPr>
              <w:t xml:space="preserve">At 5-years n=1,295. At 10-years n=1,023. </w:t>
            </w:r>
          </w:p>
        </w:tc>
        <w:tc>
          <w:tcPr>
            <w:tcW w:w="444" w:type="pct"/>
            <w:vAlign w:val="center"/>
          </w:tcPr>
          <w:p w14:paraId="17BE7646" w14:textId="3FB20334" w:rsidR="00D80A55" w:rsidRDefault="00D80A55" w:rsidP="00D80A55">
            <w:pPr>
              <w:pStyle w:val="Ingetavstnd"/>
              <w:rPr>
                <w:rFonts w:hAnsiTheme="minorHAnsi" w:cstheme="minorHAnsi"/>
                <w:color w:val="000000"/>
                <w:sz w:val="18"/>
                <w:szCs w:val="18"/>
              </w:rPr>
            </w:pPr>
            <w:r>
              <w:rPr>
                <w:rFonts w:hAnsiTheme="minorHAnsi" w:cstheme="minorHAnsi"/>
                <w:sz w:val="18"/>
                <w:szCs w:val="18"/>
              </w:rPr>
              <w:t>5 and 10 years</w:t>
            </w:r>
          </w:p>
        </w:tc>
        <w:tc>
          <w:tcPr>
            <w:tcW w:w="424" w:type="pct"/>
            <w:vAlign w:val="center"/>
          </w:tcPr>
          <w:p w14:paraId="00CC1C3F" w14:textId="2B31B8F5" w:rsidR="00D80A55" w:rsidRDefault="00D80A55" w:rsidP="00D80A55">
            <w:pPr>
              <w:pStyle w:val="Ingetavstnd"/>
              <w:rPr>
                <w:rFonts w:hAnsiTheme="minorHAnsi" w:cstheme="minorHAnsi"/>
                <w:color w:val="000000"/>
                <w:sz w:val="18"/>
                <w:szCs w:val="18"/>
              </w:rPr>
            </w:pPr>
            <w:r>
              <w:rPr>
                <w:rFonts w:hAnsiTheme="minorHAnsi" w:cstheme="minorHAnsi"/>
                <w:sz w:val="18"/>
                <w:szCs w:val="18"/>
              </w:rPr>
              <w:t>Linear model of longitudinal data</w:t>
            </w:r>
          </w:p>
        </w:tc>
        <w:tc>
          <w:tcPr>
            <w:tcW w:w="932" w:type="pct"/>
            <w:vAlign w:val="center"/>
          </w:tcPr>
          <w:p w14:paraId="316454EF" w14:textId="2D916B64" w:rsidR="00D80A55" w:rsidRDefault="00D80A55" w:rsidP="00D80A55">
            <w:pPr>
              <w:rPr>
                <w:rFonts w:ascii="Calibri" w:hAnsi="Calibri"/>
                <w:color w:val="000000"/>
                <w:sz w:val="18"/>
                <w:szCs w:val="18"/>
              </w:rPr>
            </w:pPr>
            <w:r>
              <w:rPr>
                <w:rFonts w:hAnsiTheme="minorHAnsi" w:cstheme="minorHAnsi"/>
                <w:sz w:val="18"/>
                <w:szCs w:val="18"/>
              </w:rPr>
              <w:t xml:space="preserve">Patients with concomitant meniscus injuries, or combined meniscus and cartilage injuries at index ACLR, deteriorate between the 5- and 10-year follow-up in the KOOS subscales pain, sport and recreation and </w:t>
            </w:r>
            <w:proofErr w:type="spellStart"/>
            <w:r>
              <w:rPr>
                <w:rFonts w:hAnsiTheme="minorHAnsi" w:cstheme="minorHAnsi"/>
                <w:sz w:val="18"/>
                <w:szCs w:val="18"/>
              </w:rPr>
              <w:t>QoL</w:t>
            </w:r>
            <w:proofErr w:type="spellEnd"/>
            <w:r>
              <w:rPr>
                <w:rFonts w:hAnsiTheme="minorHAnsi" w:cstheme="minorHAnsi"/>
                <w:sz w:val="18"/>
                <w:szCs w:val="18"/>
              </w:rPr>
              <w:t xml:space="preserve">. No such deterioration was found for patients with isolated concomitant cartilage injuries or isolated ACLR. </w:t>
            </w:r>
          </w:p>
        </w:tc>
      </w:tr>
      <w:tr w:rsidR="00D80A55" w:rsidRPr="00A01261" w14:paraId="0C3A5BAB" w14:textId="77777777" w:rsidTr="00D80A55">
        <w:tc>
          <w:tcPr>
            <w:tcW w:w="448" w:type="pct"/>
            <w:vAlign w:val="center"/>
          </w:tcPr>
          <w:p w14:paraId="4ED79D4A" w14:textId="699776E8" w:rsidR="00D80A55" w:rsidRPr="00A01261" w:rsidRDefault="00D80A55" w:rsidP="00D80A55">
            <w:pPr>
              <w:pStyle w:val="Ingetavstnd"/>
              <w:rPr>
                <w:rFonts w:hAnsiTheme="minorHAnsi" w:cstheme="minorHAnsi"/>
                <w:sz w:val="18"/>
                <w:szCs w:val="18"/>
              </w:rPr>
            </w:pPr>
            <w:proofErr w:type="spellStart"/>
            <w:r>
              <w:rPr>
                <w:rFonts w:hAnsiTheme="minorHAnsi" w:cstheme="minorHAnsi"/>
                <w:sz w:val="18"/>
                <w:szCs w:val="18"/>
              </w:rPr>
              <w:t>Barenius</w:t>
            </w:r>
            <w:proofErr w:type="spellEnd"/>
            <w:r>
              <w:rPr>
                <w:rFonts w:hAnsiTheme="minorHAnsi" w:cstheme="minorHAnsi"/>
                <w:sz w:val="18"/>
                <w:szCs w:val="18"/>
              </w:rPr>
              <w:t xml:space="preserve"> et al (2013)</w:t>
            </w:r>
          </w:p>
        </w:tc>
        <w:tc>
          <w:tcPr>
            <w:tcW w:w="290" w:type="pct"/>
            <w:vAlign w:val="center"/>
          </w:tcPr>
          <w:p w14:paraId="78D69DE5" w14:textId="6EB1020C" w:rsidR="00D80A55" w:rsidRPr="00A01261" w:rsidRDefault="00D80A55" w:rsidP="00D80A55">
            <w:pPr>
              <w:pStyle w:val="Ingetavstnd"/>
              <w:jc w:val="center"/>
              <w:rPr>
                <w:rFonts w:hAnsiTheme="minorHAnsi" w:cstheme="minorHAnsi"/>
                <w:color w:val="000000"/>
                <w:sz w:val="18"/>
                <w:szCs w:val="18"/>
              </w:rPr>
            </w:pPr>
            <w:proofErr w:type="spellStart"/>
            <w:r>
              <w:rPr>
                <w:rFonts w:hAnsiTheme="minorHAnsi" w:cstheme="minorHAnsi"/>
                <w:color w:val="000000"/>
                <w:sz w:val="18"/>
                <w:szCs w:val="18"/>
              </w:rPr>
              <w:t>Swe</w:t>
            </w:r>
            <w:proofErr w:type="spellEnd"/>
          </w:p>
        </w:tc>
        <w:tc>
          <w:tcPr>
            <w:tcW w:w="260" w:type="pct"/>
            <w:vAlign w:val="center"/>
          </w:tcPr>
          <w:p w14:paraId="32228827" w14:textId="689F2FCF" w:rsidR="00D80A55" w:rsidRDefault="00D80A55" w:rsidP="00D80A55">
            <w:pPr>
              <w:jc w:val="center"/>
              <w:rPr>
                <w:rFonts w:ascii="Calibri" w:hAnsi="Calibri"/>
                <w:color w:val="000000"/>
                <w:sz w:val="18"/>
                <w:szCs w:val="18"/>
              </w:rPr>
            </w:pPr>
            <w:r>
              <w:rPr>
                <w:rFonts w:ascii="Calibri" w:hAnsi="Calibri"/>
                <w:color w:val="000000"/>
                <w:sz w:val="18"/>
                <w:szCs w:val="18"/>
              </w:rPr>
              <w:t>16</w:t>
            </w:r>
          </w:p>
        </w:tc>
        <w:tc>
          <w:tcPr>
            <w:tcW w:w="710" w:type="pct"/>
            <w:vAlign w:val="center"/>
          </w:tcPr>
          <w:p w14:paraId="35AFC560" w14:textId="20A69804" w:rsidR="00D80A55" w:rsidRDefault="00D80A55" w:rsidP="00D80A55">
            <w:pPr>
              <w:rPr>
                <w:rFonts w:ascii="Calibri" w:hAnsi="Calibri"/>
                <w:color w:val="000000"/>
                <w:sz w:val="18"/>
                <w:szCs w:val="18"/>
              </w:rPr>
            </w:pPr>
            <w:r>
              <w:rPr>
                <w:rFonts w:ascii="Calibri" w:hAnsi="Calibri"/>
                <w:color w:val="000000"/>
                <w:sz w:val="18"/>
                <w:szCs w:val="18"/>
              </w:rPr>
              <w:t>Functional recovery after ACLR, a study of health-related QoL based on the SNKLR</w:t>
            </w:r>
          </w:p>
          <w:p w14:paraId="40BA0A35" w14:textId="28B579F1" w:rsidR="00D80A55" w:rsidRPr="00A01261" w:rsidRDefault="00D80A55" w:rsidP="00D80A55">
            <w:pPr>
              <w:pStyle w:val="Ingetavstnd"/>
              <w:rPr>
                <w:rFonts w:hAnsiTheme="minorHAnsi" w:cstheme="minorHAnsi"/>
                <w:sz w:val="18"/>
                <w:szCs w:val="18"/>
              </w:rPr>
            </w:pPr>
          </w:p>
        </w:tc>
        <w:tc>
          <w:tcPr>
            <w:tcW w:w="477" w:type="pct"/>
            <w:vAlign w:val="center"/>
          </w:tcPr>
          <w:p w14:paraId="3C26636E" w14:textId="3333B1EB" w:rsidR="00D80A55" w:rsidRPr="00A01261" w:rsidRDefault="00D80A55" w:rsidP="00D80A55">
            <w:pPr>
              <w:pStyle w:val="Ingetavstnd"/>
              <w:rPr>
                <w:rFonts w:hAnsiTheme="minorHAnsi" w:cstheme="minorHAnsi"/>
                <w:sz w:val="18"/>
                <w:szCs w:val="18"/>
              </w:rPr>
            </w:pPr>
            <w:r>
              <w:rPr>
                <w:rFonts w:ascii="Calibri" w:hAnsi="Calibri"/>
                <w:color w:val="000000"/>
                <w:sz w:val="18"/>
                <w:szCs w:val="18"/>
              </w:rPr>
              <w:t xml:space="preserve">To find predictors of a satisfactory (functional recovery) or a non-satisfactory outcome after ACLR </w:t>
            </w:r>
          </w:p>
        </w:tc>
        <w:tc>
          <w:tcPr>
            <w:tcW w:w="574" w:type="pct"/>
            <w:vAlign w:val="center"/>
          </w:tcPr>
          <w:p w14:paraId="27C13413" w14:textId="613D4721" w:rsidR="00D80A55" w:rsidRPr="00A01261" w:rsidRDefault="00D80A55" w:rsidP="00D80A55">
            <w:pPr>
              <w:pStyle w:val="Ingetavstnd"/>
              <w:rPr>
                <w:rFonts w:hAnsiTheme="minorHAnsi" w:cstheme="minorHAnsi"/>
                <w:sz w:val="18"/>
                <w:szCs w:val="18"/>
              </w:rPr>
            </w:pPr>
            <w:r>
              <w:rPr>
                <w:rFonts w:ascii="Calibri" w:hAnsi="Calibri"/>
                <w:color w:val="000000"/>
                <w:sz w:val="18"/>
                <w:szCs w:val="18"/>
              </w:rPr>
              <w:t>KOOS</w:t>
            </w:r>
          </w:p>
        </w:tc>
        <w:tc>
          <w:tcPr>
            <w:tcW w:w="441" w:type="pct"/>
            <w:vAlign w:val="center"/>
          </w:tcPr>
          <w:p w14:paraId="06DEB720" w14:textId="77777777" w:rsidR="00D80A55" w:rsidRDefault="00D80A55" w:rsidP="00D80A55">
            <w:pPr>
              <w:rPr>
                <w:rFonts w:ascii="Calibri" w:hAnsi="Calibri"/>
                <w:color w:val="000000"/>
                <w:sz w:val="18"/>
                <w:szCs w:val="18"/>
              </w:rPr>
            </w:pPr>
            <w:r>
              <w:rPr>
                <w:rFonts w:ascii="Calibri" w:hAnsi="Calibri"/>
                <w:color w:val="000000"/>
                <w:sz w:val="18"/>
                <w:szCs w:val="18"/>
              </w:rPr>
              <w:t>N = 8,584</w:t>
            </w:r>
          </w:p>
          <w:p w14:paraId="2923FCF3" w14:textId="5F1BB92C" w:rsidR="00D80A55" w:rsidRDefault="00D80A55" w:rsidP="00D80A55">
            <w:pPr>
              <w:rPr>
                <w:rFonts w:ascii="Calibri" w:hAnsi="Calibri"/>
                <w:color w:val="000000"/>
                <w:sz w:val="18"/>
                <w:szCs w:val="18"/>
              </w:rPr>
            </w:pPr>
            <w:r>
              <w:rPr>
                <w:rFonts w:ascii="Calibri" w:hAnsi="Calibri"/>
                <w:color w:val="000000"/>
                <w:sz w:val="18"/>
                <w:szCs w:val="18"/>
              </w:rPr>
              <w:t xml:space="preserve">For KOOS two-year: N = 3,556 </w:t>
            </w:r>
          </w:p>
          <w:p w14:paraId="39F790D3" w14:textId="53743A3D" w:rsidR="00D80A55" w:rsidRPr="00A01261" w:rsidRDefault="00D80A55" w:rsidP="00D80A55">
            <w:pPr>
              <w:pStyle w:val="Ingetavstnd"/>
              <w:rPr>
                <w:rFonts w:hAnsiTheme="minorHAnsi" w:cstheme="minorHAnsi"/>
                <w:sz w:val="18"/>
                <w:szCs w:val="18"/>
              </w:rPr>
            </w:pPr>
          </w:p>
        </w:tc>
        <w:tc>
          <w:tcPr>
            <w:tcW w:w="444" w:type="pct"/>
            <w:vAlign w:val="center"/>
          </w:tcPr>
          <w:p w14:paraId="697BB2E9" w14:textId="6D6815D9" w:rsidR="00D80A55" w:rsidRPr="00A01261" w:rsidRDefault="00D80A55" w:rsidP="00D80A55">
            <w:pPr>
              <w:pStyle w:val="Ingetavstnd"/>
              <w:rPr>
                <w:rFonts w:hAnsiTheme="minorHAnsi" w:cstheme="minorHAnsi"/>
                <w:sz w:val="18"/>
                <w:szCs w:val="18"/>
              </w:rPr>
            </w:pPr>
            <w:r>
              <w:rPr>
                <w:rFonts w:hAnsiTheme="minorHAnsi" w:cstheme="minorHAnsi"/>
                <w:color w:val="000000"/>
                <w:sz w:val="18"/>
                <w:szCs w:val="18"/>
              </w:rPr>
              <w:t>2 years</w:t>
            </w:r>
          </w:p>
        </w:tc>
        <w:tc>
          <w:tcPr>
            <w:tcW w:w="424" w:type="pct"/>
            <w:vAlign w:val="center"/>
          </w:tcPr>
          <w:p w14:paraId="498B80B1" w14:textId="2C92D522" w:rsidR="00D80A55" w:rsidRPr="00A01261" w:rsidRDefault="00D80A55" w:rsidP="00D80A55">
            <w:pPr>
              <w:pStyle w:val="Ingetavstnd"/>
              <w:rPr>
                <w:rFonts w:hAnsiTheme="minorHAnsi" w:cstheme="minorHAnsi"/>
                <w:sz w:val="18"/>
                <w:szCs w:val="18"/>
              </w:rPr>
            </w:pPr>
            <w:r>
              <w:rPr>
                <w:rFonts w:hAnsiTheme="minorHAnsi" w:cstheme="minorHAnsi"/>
                <w:color w:val="000000"/>
                <w:sz w:val="18"/>
                <w:szCs w:val="18"/>
              </w:rPr>
              <w:t>Univariate and multivariate logistic regression</w:t>
            </w:r>
          </w:p>
        </w:tc>
        <w:tc>
          <w:tcPr>
            <w:tcW w:w="932" w:type="pct"/>
            <w:vAlign w:val="center"/>
          </w:tcPr>
          <w:p w14:paraId="180755D1" w14:textId="77777777" w:rsidR="00D80A55" w:rsidRDefault="00D80A55" w:rsidP="00D80A55">
            <w:pPr>
              <w:rPr>
                <w:rFonts w:ascii="Calibri" w:hAnsi="Calibri"/>
                <w:color w:val="000000"/>
                <w:sz w:val="18"/>
                <w:szCs w:val="18"/>
              </w:rPr>
            </w:pPr>
            <w:r>
              <w:rPr>
                <w:rFonts w:ascii="Calibri" w:hAnsi="Calibri"/>
                <w:color w:val="000000"/>
                <w:sz w:val="18"/>
                <w:szCs w:val="18"/>
              </w:rPr>
              <w:t xml:space="preserve">Gender and additional injuries influence the chance of achieving functional recovery after ACLR. Early reconstruction decreases the risk of meniscal injury and cartilage lesions. </w:t>
            </w:r>
          </w:p>
          <w:p w14:paraId="07D4DD4C" w14:textId="70ECC24A" w:rsidR="00D80A55" w:rsidRPr="00A01261" w:rsidRDefault="00D80A55" w:rsidP="00D80A55">
            <w:pPr>
              <w:pStyle w:val="Ingetavstnd"/>
              <w:rPr>
                <w:rFonts w:hAnsiTheme="minorHAnsi" w:cstheme="minorHAnsi"/>
                <w:sz w:val="18"/>
                <w:szCs w:val="18"/>
              </w:rPr>
            </w:pPr>
          </w:p>
        </w:tc>
      </w:tr>
      <w:tr w:rsidR="00D80A55" w:rsidRPr="00A01261" w14:paraId="641E7AFB" w14:textId="77777777" w:rsidTr="00D80A55">
        <w:tc>
          <w:tcPr>
            <w:tcW w:w="448" w:type="pct"/>
            <w:vAlign w:val="center"/>
          </w:tcPr>
          <w:p w14:paraId="0285776B" w14:textId="581D00DB" w:rsidR="00D80A55" w:rsidRPr="00A01261" w:rsidRDefault="00D80A55" w:rsidP="00D80A55">
            <w:pPr>
              <w:pStyle w:val="Ingetavstnd"/>
              <w:rPr>
                <w:rFonts w:hAnsiTheme="minorHAnsi" w:cstheme="minorHAnsi"/>
                <w:sz w:val="18"/>
                <w:szCs w:val="18"/>
              </w:rPr>
            </w:pPr>
            <w:proofErr w:type="spellStart"/>
            <w:r>
              <w:rPr>
                <w:rFonts w:hAnsiTheme="minorHAnsi" w:cstheme="minorHAnsi"/>
                <w:sz w:val="18"/>
                <w:szCs w:val="18"/>
              </w:rPr>
              <w:t>Björnsson</w:t>
            </w:r>
            <w:proofErr w:type="spellEnd"/>
            <w:r>
              <w:rPr>
                <w:rFonts w:hAnsiTheme="minorHAnsi" w:cstheme="minorHAnsi"/>
                <w:sz w:val="18"/>
                <w:szCs w:val="18"/>
              </w:rPr>
              <w:t xml:space="preserve"> et al (2015</w:t>
            </w:r>
            <w:r w:rsidRPr="00A01261">
              <w:rPr>
                <w:rFonts w:hAnsiTheme="minorHAnsi" w:cstheme="minorHAnsi"/>
                <w:sz w:val="18"/>
                <w:szCs w:val="18"/>
              </w:rPr>
              <w:t>)</w:t>
            </w:r>
          </w:p>
        </w:tc>
        <w:tc>
          <w:tcPr>
            <w:tcW w:w="290" w:type="pct"/>
            <w:vAlign w:val="center"/>
          </w:tcPr>
          <w:p w14:paraId="742A6420" w14:textId="57513735" w:rsidR="00D80A55" w:rsidRDefault="00D80A55" w:rsidP="00D80A55">
            <w:pPr>
              <w:pStyle w:val="Ingetavstnd"/>
              <w:jc w:val="center"/>
              <w:rPr>
                <w:rFonts w:hAnsiTheme="minorHAnsi" w:cstheme="minorHAnsi"/>
                <w:color w:val="000000"/>
                <w:sz w:val="18"/>
                <w:szCs w:val="18"/>
              </w:rPr>
            </w:pPr>
            <w:proofErr w:type="spellStart"/>
            <w:r>
              <w:rPr>
                <w:rFonts w:hAnsiTheme="minorHAnsi" w:cstheme="minorHAnsi"/>
                <w:color w:val="000000"/>
                <w:sz w:val="18"/>
                <w:szCs w:val="18"/>
              </w:rPr>
              <w:t>Swe</w:t>
            </w:r>
            <w:proofErr w:type="spellEnd"/>
          </w:p>
        </w:tc>
        <w:tc>
          <w:tcPr>
            <w:tcW w:w="260" w:type="pct"/>
            <w:vAlign w:val="center"/>
          </w:tcPr>
          <w:p w14:paraId="08786B0B" w14:textId="3948957C" w:rsidR="00D80A55" w:rsidRPr="00A01261" w:rsidRDefault="00D80A55" w:rsidP="00D80A55">
            <w:pPr>
              <w:pStyle w:val="Ingetavstnd"/>
              <w:jc w:val="center"/>
              <w:rPr>
                <w:rFonts w:hAnsiTheme="minorHAnsi" w:cstheme="minorHAnsi"/>
                <w:color w:val="000000"/>
                <w:sz w:val="18"/>
                <w:szCs w:val="18"/>
              </w:rPr>
            </w:pPr>
            <w:r>
              <w:rPr>
                <w:rFonts w:hAnsiTheme="minorHAnsi" w:cstheme="minorHAnsi"/>
                <w:color w:val="000000"/>
                <w:sz w:val="18"/>
                <w:szCs w:val="18"/>
              </w:rPr>
              <w:t>15</w:t>
            </w:r>
          </w:p>
        </w:tc>
        <w:tc>
          <w:tcPr>
            <w:tcW w:w="710" w:type="pct"/>
            <w:vAlign w:val="center"/>
          </w:tcPr>
          <w:p w14:paraId="5542F180" w14:textId="71CE0A92" w:rsidR="00D80A55" w:rsidRPr="00A01261" w:rsidRDefault="00D80A55" w:rsidP="00D80A55">
            <w:pPr>
              <w:pStyle w:val="Ingetavstnd"/>
              <w:rPr>
                <w:rFonts w:hAnsiTheme="minorHAnsi" w:cstheme="minorHAnsi"/>
                <w:color w:val="000000"/>
                <w:sz w:val="18"/>
                <w:szCs w:val="18"/>
              </w:rPr>
            </w:pPr>
            <w:r w:rsidRPr="00A01261">
              <w:rPr>
                <w:rFonts w:hAnsiTheme="minorHAnsi" w:cstheme="minorHAnsi"/>
                <w:color w:val="000000"/>
                <w:sz w:val="18"/>
                <w:szCs w:val="18"/>
              </w:rPr>
              <w:t xml:space="preserve">No difference in revision rates between single- and double-bundle ACL reconstruction: A comparative study of 16,791 patients from the SNKLR. </w:t>
            </w:r>
          </w:p>
        </w:tc>
        <w:tc>
          <w:tcPr>
            <w:tcW w:w="477" w:type="pct"/>
            <w:vAlign w:val="center"/>
          </w:tcPr>
          <w:p w14:paraId="0437AD19" w14:textId="362F8585" w:rsidR="00D80A55" w:rsidRPr="00A01261" w:rsidRDefault="00D80A55" w:rsidP="00D80A55">
            <w:pPr>
              <w:pStyle w:val="Ingetavstnd"/>
              <w:rPr>
                <w:rFonts w:hAnsiTheme="minorHAnsi" w:cstheme="minorHAnsi"/>
                <w:color w:val="000000"/>
                <w:sz w:val="18"/>
                <w:szCs w:val="18"/>
              </w:rPr>
            </w:pPr>
            <w:r w:rsidRPr="00A01261">
              <w:rPr>
                <w:rFonts w:hAnsiTheme="minorHAnsi" w:cstheme="minorHAnsi"/>
                <w:color w:val="000000"/>
                <w:sz w:val="18"/>
                <w:szCs w:val="18"/>
              </w:rPr>
              <w:t>To compare revision rates and PROMS between single- and double-bundle ACLR</w:t>
            </w:r>
          </w:p>
        </w:tc>
        <w:tc>
          <w:tcPr>
            <w:tcW w:w="574" w:type="pct"/>
            <w:vAlign w:val="center"/>
          </w:tcPr>
          <w:p w14:paraId="66F84A48" w14:textId="58221AA7" w:rsidR="00D80A55" w:rsidRPr="00A01261" w:rsidRDefault="00D80A55" w:rsidP="00D80A55">
            <w:pPr>
              <w:pStyle w:val="Ingetavstnd"/>
              <w:rPr>
                <w:rFonts w:hAnsiTheme="minorHAnsi" w:cstheme="minorHAnsi"/>
                <w:color w:val="000000"/>
                <w:sz w:val="18"/>
                <w:szCs w:val="18"/>
              </w:rPr>
            </w:pPr>
            <w:r w:rsidRPr="00A01261">
              <w:rPr>
                <w:rFonts w:hAnsiTheme="minorHAnsi" w:cstheme="minorHAnsi"/>
                <w:color w:val="000000"/>
                <w:sz w:val="18"/>
                <w:szCs w:val="18"/>
              </w:rPr>
              <w:t>Revision and PROM</w:t>
            </w:r>
            <w:r>
              <w:rPr>
                <w:rFonts w:hAnsiTheme="minorHAnsi" w:cstheme="minorHAnsi"/>
                <w:color w:val="000000"/>
                <w:sz w:val="18"/>
                <w:szCs w:val="18"/>
              </w:rPr>
              <w:t>s</w:t>
            </w:r>
          </w:p>
        </w:tc>
        <w:tc>
          <w:tcPr>
            <w:tcW w:w="441" w:type="pct"/>
            <w:vAlign w:val="center"/>
          </w:tcPr>
          <w:p w14:paraId="2F65629E" w14:textId="77777777" w:rsidR="00D80A55" w:rsidRDefault="00D80A55" w:rsidP="00D80A55">
            <w:pPr>
              <w:pStyle w:val="Ingetavstnd"/>
              <w:rPr>
                <w:rFonts w:hAnsiTheme="minorHAnsi" w:cstheme="minorHAnsi"/>
                <w:color w:val="000000"/>
                <w:sz w:val="18"/>
                <w:szCs w:val="18"/>
              </w:rPr>
            </w:pPr>
            <w:r>
              <w:rPr>
                <w:rFonts w:hAnsiTheme="minorHAnsi" w:cstheme="minorHAnsi"/>
                <w:color w:val="000000"/>
                <w:sz w:val="18"/>
                <w:szCs w:val="18"/>
              </w:rPr>
              <w:t xml:space="preserve">N = </w:t>
            </w:r>
            <w:r w:rsidRPr="00A01261">
              <w:rPr>
                <w:rFonts w:hAnsiTheme="minorHAnsi" w:cstheme="minorHAnsi"/>
                <w:color w:val="000000"/>
                <w:sz w:val="18"/>
                <w:szCs w:val="18"/>
              </w:rPr>
              <w:t>16,791</w:t>
            </w:r>
          </w:p>
          <w:p w14:paraId="5F851B17" w14:textId="77777777" w:rsidR="00D80A55" w:rsidRDefault="00D80A55" w:rsidP="00D80A55">
            <w:pPr>
              <w:pStyle w:val="Ingetavstnd"/>
              <w:rPr>
                <w:rFonts w:hAnsiTheme="minorHAnsi" w:cstheme="minorHAnsi"/>
                <w:color w:val="000000"/>
                <w:sz w:val="18"/>
                <w:szCs w:val="18"/>
              </w:rPr>
            </w:pPr>
            <w:r>
              <w:rPr>
                <w:rFonts w:hAnsiTheme="minorHAnsi" w:cstheme="minorHAnsi"/>
                <w:color w:val="000000"/>
                <w:sz w:val="18"/>
                <w:szCs w:val="18"/>
              </w:rPr>
              <w:t>SB = 16,281</w:t>
            </w:r>
          </w:p>
          <w:p w14:paraId="5E46A0D1" w14:textId="106D3D71" w:rsidR="00D80A55" w:rsidRPr="00A01261" w:rsidRDefault="00D80A55" w:rsidP="00D80A55">
            <w:pPr>
              <w:pStyle w:val="Ingetavstnd"/>
              <w:rPr>
                <w:rFonts w:hAnsiTheme="minorHAnsi" w:cstheme="minorHAnsi"/>
                <w:color w:val="000000"/>
                <w:sz w:val="18"/>
                <w:szCs w:val="18"/>
              </w:rPr>
            </w:pPr>
            <w:r>
              <w:rPr>
                <w:rFonts w:hAnsiTheme="minorHAnsi" w:cstheme="minorHAnsi"/>
                <w:color w:val="000000"/>
                <w:sz w:val="18"/>
                <w:szCs w:val="18"/>
              </w:rPr>
              <w:t>DB = 510</w:t>
            </w:r>
          </w:p>
        </w:tc>
        <w:tc>
          <w:tcPr>
            <w:tcW w:w="444" w:type="pct"/>
            <w:vAlign w:val="center"/>
          </w:tcPr>
          <w:p w14:paraId="56946B02" w14:textId="69079F6D" w:rsidR="00D80A55" w:rsidRPr="00A01261" w:rsidRDefault="00D80A55" w:rsidP="00D80A55">
            <w:pPr>
              <w:pStyle w:val="Ingetavstnd"/>
              <w:rPr>
                <w:rFonts w:hAnsiTheme="minorHAnsi" w:cstheme="minorHAnsi"/>
                <w:color w:val="000000"/>
                <w:sz w:val="18"/>
                <w:szCs w:val="18"/>
              </w:rPr>
            </w:pPr>
            <w:r w:rsidRPr="00A01261">
              <w:rPr>
                <w:rFonts w:hAnsiTheme="minorHAnsi" w:cstheme="minorHAnsi"/>
                <w:color w:val="000000"/>
                <w:sz w:val="18"/>
                <w:szCs w:val="18"/>
              </w:rPr>
              <w:t>Maximum 7 y</w:t>
            </w:r>
            <w:r>
              <w:rPr>
                <w:rFonts w:hAnsiTheme="minorHAnsi" w:cstheme="minorHAnsi"/>
                <w:color w:val="000000"/>
                <w:sz w:val="18"/>
                <w:szCs w:val="18"/>
              </w:rPr>
              <w:t>ears</w:t>
            </w:r>
            <w:r w:rsidRPr="00A01261">
              <w:rPr>
                <w:rFonts w:hAnsiTheme="minorHAnsi" w:cstheme="minorHAnsi"/>
                <w:color w:val="000000"/>
                <w:sz w:val="18"/>
                <w:szCs w:val="18"/>
              </w:rPr>
              <w:t xml:space="preserve"> </w:t>
            </w:r>
          </w:p>
        </w:tc>
        <w:tc>
          <w:tcPr>
            <w:tcW w:w="424" w:type="pct"/>
            <w:vAlign w:val="center"/>
          </w:tcPr>
          <w:p w14:paraId="16DA19F3" w14:textId="6893D92A" w:rsidR="00D80A55" w:rsidRPr="00A01261" w:rsidRDefault="00D80A55" w:rsidP="00D80A55">
            <w:pPr>
              <w:pStyle w:val="Ingetavstnd"/>
              <w:rPr>
                <w:rFonts w:hAnsiTheme="minorHAnsi" w:cstheme="minorHAnsi"/>
                <w:color w:val="000000"/>
                <w:sz w:val="18"/>
                <w:szCs w:val="18"/>
              </w:rPr>
            </w:pPr>
            <w:r w:rsidRPr="00A01261">
              <w:rPr>
                <w:rFonts w:hAnsiTheme="minorHAnsi" w:cstheme="minorHAnsi"/>
                <w:color w:val="000000"/>
                <w:sz w:val="18"/>
                <w:szCs w:val="18"/>
              </w:rPr>
              <w:t>Kaplan-Meier for probabilit</w:t>
            </w:r>
            <w:r>
              <w:rPr>
                <w:rFonts w:hAnsiTheme="minorHAnsi" w:cstheme="minorHAnsi"/>
                <w:color w:val="000000"/>
                <w:sz w:val="18"/>
                <w:szCs w:val="18"/>
              </w:rPr>
              <w:t>y of revision and log-rank test</w:t>
            </w:r>
          </w:p>
        </w:tc>
        <w:tc>
          <w:tcPr>
            <w:tcW w:w="932" w:type="pct"/>
            <w:vAlign w:val="center"/>
          </w:tcPr>
          <w:p w14:paraId="48223A2C" w14:textId="0AFF003F" w:rsidR="00D80A55" w:rsidRPr="00A01261" w:rsidRDefault="00D80A55" w:rsidP="00D80A55">
            <w:pPr>
              <w:pStyle w:val="Ingetavstnd"/>
              <w:rPr>
                <w:rFonts w:hAnsiTheme="minorHAnsi" w:cstheme="minorHAnsi"/>
                <w:color w:val="000000"/>
                <w:sz w:val="18"/>
                <w:szCs w:val="18"/>
              </w:rPr>
            </w:pPr>
            <w:r w:rsidRPr="00A01261">
              <w:rPr>
                <w:rFonts w:hAnsiTheme="minorHAnsi" w:cstheme="minorHAnsi"/>
                <w:color w:val="000000"/>
                <w:sz w:val="18"/>
                <w:szCs w:val="18"/>
              </w:rPr>
              <w:t xml:space="preserve">No differences in revision rates or in PROMS were found. </w:t>
            </w:r>
          </w:p>
        </w:tc>
      </w:tr>
      <w:tr w:rsidR="00D80A55" w:rsidRPr="00A01261" w14:paraId="74999B99" w14:textId="77777777" w:rsidTr="00D80A55">
        <w:tc>
          <w:tcPr>
            <w:tcW w:w="448" w:type="pct"/>
            <w:vAlign w:val="center"/>
          </w:tcPr>
          <w:p w14:paraId="1F467AD0" w14:textId="38EA6217" w:rsidR="00D80A55" w:rsidRPr="00A01261" w:rsidRDefault="00D80A55" w:rsidP="00D80A55">
            <w:pPr>
              <w:pStyle w:val="Ingetavstnd"/>
              <w:rPr>
                <w:rFonts w:hAnsiTheme="minorHAnsi" w:cstheme="minorHAnsi"/>
                <w:sz w:val="18"/>
                <w:szCs w:val="18"/>
              </w:rPr>
            </w:pPr>
            <w:r>
              <w:rPr>
                <w:rFonts w:hAnsiTheme="minorHAnsi" w:cstheme="minorHAnsi"/>
                <w:sz w:val="18"/>
                <w:szCs w:val="18"/>
              </w:rPr>
              <w:t>Desai et al (2014)</w:t>
            </w:r>
          </w:p>
        </w:tc>
        <w:tc>
          <w:tcPr>
            <w:tcW w:w="290" w:type="pct"/>
            <w:vAlign w:val="center"/>
          </w:tcPr>
          <w:p w14:paraId="3199FD12" w14:textId="0A43EC09" w:rsidR="00D80A55" w:rsidRPr="00A01261" w:rsidRDefault="00D80A55" w:rsidP="00D80A55">
            <w:pPr>
              <w:pStyle w:val="Ingetavstnd"/>
              <w:jc w:val="center"/>
              <w:rPr>
                <w:rFonts w:hAnsiTheme="minorHAnsi" w:cstheme="minorHAnsi"/>
                <w:color w:val="000000"/>
                <w:sz w:val="18"/>
                <w:szCs w:val="18"/>
              </w:rPr>
            </w:pPr>
            <w:proofErr w:type="spellStart"/>
            <w:r>
              <w:rPr>
                <w:rFonts w:hAnsiTheme="minorHAnsi" w:cstheme="minorHAnsi"/>
                <w:color w:val="000000"/>
                <w:sz w:val="18"/>
                <w:szCs w:val="18"/>
              </w:rPr>
              <w:t>Swe</w:t>
            </w:r>
            <w:proofErr w:type="spellEnd"/>
          </w:p>
        </w:tc>
        <w:tc>
          <w:tcPr>
            <w:tcW w:w="260" w:type="pct"/>
            <w:vAlign w:val="center"/>
          </w:tcPr>
          <w:p w14:paraId="73C2C3DE" w14:textId="5BCEDEEB" w:rsidR="00D80A55" w:rsidRDefault="00D80A55" w:rsidP="00D80A55">
            <w:pPr>
              <w:pStyle w:val="Ingetavstnd"/>
              <w:jc w:val="center"/>
              <w:rPr>
                <w:rFonts w:ascii="Segoe UI" w:hAnsi="Segoe UI" w:cs="Segoe UI"/>
                <w:sz w:val="18"/>
                <w:szCs w:val="18"/>
              </w:rPr>
            </w:pPr>
            <w:r>
              <w:rPr>
                <w:rFonts w:ascii="Segoe UI" w:hAnsi="Segoe UI" w:cs="Segoe UI"/>
                <w:sz w:val="18"/>
                <w:szCs w:val="18"/>
              </w:rPr>
              <w:t>14</w:t>
            </w:r>
          </w:p>
        </w:tc>
        <w:tc>
          <w:tcPr>
            <w:tcW w:w="710" w:type="pct"/>
            <w:vAlign w:val="center"/>
          </w:tcPr>
          <w:p w14:paraId="6DE24DE2" w14:textId="0EAF3CF9" w:rsidR="00D80A55" w:rsidRPr="00A01261" w:rsidRDefault="00D80A55" w:rsidP="00D80A55">
            <w:pPr>
              <w:pStyle w:val="Ingetavstnd"/>
              <w:rPr>
                <w:rFonts w:hAnsiTheme="minorHAnsi" w:cstheme="minorHAnsi"/>
                <w:sz w:val="18"/>
                <w:szCs w:val="18"/>
              </w:rPr>
            </w:pPr>
            <w:r>
              <w:rPr>
                <w:rFonts w:ascii="Segoe UI" w:hAnsi="Segoe UI" w:cs="Segoe UI"/>
                <w:sz w:val="18"/>
                <w:szCs w:val="18"/>
              </w:rPr>
              <w:t>Outcomes after ACL reconstruction with the emphasis on older patients: results from the SNKLR</w:t>
            </w:r>
          </w:p>
        </w:tc>
        <w:tc>
          <w:tcPr>
            <w:tcW w:w="477" w:type="pct"/>
            <w:vAlign w:val="center"/>
          </w:tcPr>
          <w:p w14:paraId="1DD2CC84" w14:textId="1EE04A8A" w:rsidR="00D80A55" w:rsidRPr="00A01261" w:rsidRDefault="00D80A55" w:rsidP="00D80A55">
            <w:pPr>
              <w:pStyle w:val="Ingetavstnd"/>
              <w:rPr>
                <w:rFonts w:hAnsiTheme="minorHAnsi" w:cstheme="minorHAnsi"/>
                <w:sz w:val="18"/>
                <w:szCs w:val="18"/>
              </w:rPr>
            </w:pPr>
            <w:r>
              <w:rPr>
                <w:rFonts w:ascii="Calibri" w:hAnsi="Calibri"/>
                <w:color w:val="000000"/>
                <w:sz w:val="18"/>
                <w:szCs w:val="18"/>
              </w:rPr>
              <w:t xml:space="preserve">To </w:t>
            </w:r>
            <w:proofErr w:type="spellStart"/>
            <w:r>
              <w:rPr>
                <w:rFonts w:ascii="Calibri" w:hAnsi="Calibri"/>
                <w:color w:val="000000"/>
                <w:sz w:val="18"/>
                <w:szCs w:val="18"/>
              </w:rPr>
              <w:t>analyse</w:t>
            </w:r>
            <w:proofErr w:type="spellEnd"/>
            <w:r>
              <w:rPr>
                <w:rFonts w:ascii="Calibri" w:hAnsi="Calibri"/>
                <w:color w:val="000000"/>
                <w:sz w:val="18"/>
                <w:szCs w:val="18"/>
              </w:rPr>
              <w:t xml:space="preserve"> outcomes of patients over the age of 40 after ACLR and to compare them with their younger counterparts </w:t>
            </w:r>
          </w:p>
        </w:tc>
        <w:tc>
          <w:tcPr>
            <w:tcW w:w="574" w:type="pct"/>
            <w:vAlign w:val="center"/>
          </w:tcPr>
          <w:p w14:paraId="3AFCAFB5" w14:textId="1D9856CB" w:rsidR="00D80A55" w:rsidRPr="00A01261" w:rsidRDefault="00D80A55" w:rsidP="00D80A55">
            <w:pPr>
              <w:pStyle w:val="Ingetavstnd"/>
              <w:rPr>
                <w:rFonts w:hAnsiTheme="minorHAnsi" w:cstheme="minorHAnsi"/>
                <w:sz w:val="18"/>
                <w:szCs w:val="18"/>
              </w:rPr>
            </w:pPr>
            <w:r>
              <w:rPr>
                <w:rFonts w:hAnsiTheme="minorHAnsi" w:cstheme="minorHAnsi"/>
                <w:color w:val="000000"/>
                <w:sz w:val="18"/>
                <w:szCs w:val="18"/>
              </w:rPr>
              <w:t>KOOS</w:t>
            </w:r>
          </w:p>
        </w:tc>
        <w:tc>
          <w:tcPr>
            <w:tcW w:w="441" w:type="pct"/>
            <w:vAlign w:val="center"/>
          </w:tcPr>
          <w:p w14:paraId="0AED7EBC" w14:textId="7846683C" w:rsidR="00D80A55" w:rsidRPr="00A01261" w:rsidRDefault="00D80A55" w:rsidP="00D80A55">
            <w:pPr>
              <w:pStyle w:val="Ingetavstnd"/>
              <w:rPr>
                <w:rFonts w:hAnsiTheme="minorHAnsi" w:cstheme="minorHAnsi"/>
                <w:sz w:val="18"/>
                <w:szCs w:val="18"/>
              </w:rPr>
            </w:pPr>
            <w:r>
              <w:rPr>
                <w:rFonts w:hAnsiTheme="minorHAnsi" w:cstheme="minorHAnsi"/>
                <w:color w:val="000000"/>
                <w:sz w:val="18"/>
                <w:szCs w:val="18"/>
              </w:rPr>
              <w:t>N = 22,699</w:t>
            </w:r>
          </w:p>
        </w:tc>
        <w:tc>
          <w:tcPr>
            <w:tcW w:w="444" w:type="pct"/>
            <w:vAlign w:val="center"/>
          </w:tcPr>
          <w:p w14:paraId="5423ACD1" w14:textId="278B217D" w:rsidR="00D80A55" w:rsidRPr="00A01261" w:rsidRDefault="00D80A55" w:rsidP="00D80A55">
            <w:pPr>
              <w:pStyle w:val="Ingetavstnd"/>
              <w:rPr>
                <w:rFonts w:hAnsiTheme="minorHAnsi" w:cstheme="minorHAnsi"/>
                <w:sz w:val="18"/>
                <w:szCs w:val="18"/>
              </w:rPr>
            </w:pPr>
            <w:r>
              <w:rPr>
                <w:rFonts w:hAnsiTheme="minorHAnsi" w:cstheme="minorHAnsi"/>
                <w:color w:val="000000"/>
                <w:sz w:val="18"/>
                <w:szCs w:val="18"/>
              </w:rPr>
              <w:t>1, 2 and 5 years</w:t>
            </w:r>
          </w:p>
        </w:tc>
        <w:tc>
          <w:tcPr>
            <w:tcW w:w="424" w:type="pct"/>
            <w:vAlign w:val="center"/>
          </w:tcPr>
          <w:p w14:paraId="34DCA1A2" w14:textId="77777777" w:rsidR="00D80A55" w:rsidRDefault="00D80A55" w:rsidP="00D80A55">
            <w:pPr>
              <w:rPr>
                <w:rFonts w:ascii="Calibri" w:hAnsi="Calibri"/>
                <w:color w:val="000000"/>
                <w:sz w:val="18"/>
                <w:szCs w:val="18"/>
              </w:rPr>
            </w:pPr>
            <w:r>
              <w:rPr>
                <w:rFonts w:ascii="Calibri" w:hAnsi="Calibri"/>
                <w:color w:val="000000"/>
                <w:sz w:val="18"/>
                <w:szCs w:val="18"/>
              </w:rPr>
              <w:t>Chi-square test, ANOVA and two-way analysis of variance</w:t>
            </w:r>
          </w:p>
          <w:p w14:paraId="77A9A271" w14:textId="45029084" w:rsidR="00D80A55" w:rsidRPr="00A01261" w:rsidRDefault="00D80A55" w:rsidP="00D80A55">
            <w:pPr>
              <w:pStyle w:val="Ingetavstnd"/>
              <w:rPr>
                <w:rFonts w:hAnsiTheme="minorHAnsi" w:cstheme="minorHAnsi"/>
                <w:sz w:val="18"/>
                <w:szCs w:val="18"/>
              </w:rPr>
            </w:pPr>
          </w:p>
        </w:tc>
        <w:tc>
          <w:tcPr>
            <w:tcW w:w="932" w:type="pct"/>
            <w:vAlign w:val="center"/>
          </w:tcPr>
          <w:p w14:paraId="41C9C50F" w14:textId="0F318365" w:rsidR="00D80A55" w:rsidRPr="00A01261" w:rsidRDefault="00D80A55" w:rsidP="00D80A55">
            <w:pPr>
              <w:pStyle w:val="Ingetavstnd"/>
              <w:rPr>
                <w:rFonts w:hAnsiTheme="minorHAnsi" w:cstheme="minorHAnsi"/>
                <w:sz w:val="18"/>
                <w:szCs w:val="18"/>
              </w:rPr>
            </w:pPr>
            <w:r>
              <w:rPr>
                <w:rFonts w:ascii="Calibri" w:hAnsi="Calibri"/>
                <w:color w:val="000000"/>
                <w:sz w:val="18"/>
                <w:szCs w:val="18"/>
              </w:rPr>
              <w:t xml:space="preserve">Patients of higher age reported a lower pre-operative KOOS compared with young patients. At the one-, two- and five-year follow-up, a similar KOOS was seen in all age groups. </w:t>
            </w:r>
          </w:p>
        </w:tc>
      </w:tr>
      <w:tr w:rsidR="00D80A55" w:rsidRPr="00A01261" w14:paraId="20C4F080" w14:textId="77777777" w:rsidTr="00D80A55">
        <w:tc>
          <w:tcPr>
            <w:tcW w:w="448" w:type="pct"/>
            <w:vAlign w:val="center"/>
          </w:tcPr>
          <w:p w14:paraId="1095D5CA" w14:textId="65516921" w:rsidR="00D80A55" w:rsidRPr="00A01261" w:rsidRDefault="00D80A55" w:rsidP="00D80A55">
            <w:pPr>
              <w:pStyle w:val="Ingetavstnd"/>
              <w:rPr>
                <w:rFonts w:hAnsiTheme="minorHAnsi" w:cstheme="minorHAnsi"/>
                <w:sz w:val="18"/>
                <w:szCs w:val="18"/>
              </w:rPr>
            </w:pPr>
            <w:proofErr w:type="spellStart"/>
            <w:r w:rsidRPr="00DE500A">
              <w:rPr>
                <w:rFonts w:hAnsiTheme="minorHAnsi" w:cstheme="minorHAnsi"/>
                <w:sz w:val="18"/>
                <w:szCs w:val="18"/>
              </w:rPr>
              <w:t>Faunø</w:t>
            </w:r>
            <w:proofErr w:type="spellEnd"/>
            <w:r w:rsidRPr="00DE500A">
              <w:rPr>
                <w:rFonts w:hAnsiTheme="minorHAnsi" w:cstheme="minorHAnsi"/>
                <w:sz w:val="18"/>
                <w:szCs w:val="18"/>
              </w:rPr>
              <w:t xml:space="preserve"> et al (2014)</w:t>
            </w:r>
          </w:p>
        </w:tc>
        <w:tc>
          <w:tcPr>
            <w:tcW w:w="290" w:type="pct"/>
            <w:vAlign w:val="center"/>
          </w:tcPr>
          <w:p w14:paraId="23707974" w14:textId="711619F1" w:rsidR="00D80A55" w:rsidRPr="00A01261" w:rsidRDefault="00D80A55" w:rsidP="00D80A55">
            <w:pPr>
              <w:pStyle w:val="Ingetavstnd"/>
              <w:jc w:val="center"/>
              <w:rPr>
                <w:rFonts w:hAnsiTheme="minorHAnsi" w:cstheme="minorHAnsi"/>
                <w:color w:val="000000"/>
                <w:sz w:val="18"/>
                <w:szCs w:val="18"/>
              </w:rPr>
            </w:pPr>
            <w:r>
              <w:rPr>
                <w:rFonts w:hAnsiTheme="minorHAnsi" w:cstheme="minorHAnsi"/>
                <w:color w:val="000000"/>
                <w:sz w:val="18"/>
                <w:szCs w:val="18"/>
              </w:rPr>
              <w:t>Den</w:t>
            </w:r>
          </w:p>
        </w:tc>
        <w:tc>
          <w:tcPr>
            <w:tcW w:w="260" w:type="pct"/>
            <w:vAlign w:val="center"/>
          </w:tcPr>
          <w:p w14:paraId="0155AA35" w14:textId="12F2A586" w:rsidR="00D80A55" w:rsidRPr="00A01261" w:rsidRDefault="00D80A55" w:rsidP="00D80A55">
            <w:pPr>
              <w:pStyle w:val="Ingetavstnd"/>
              <w:jc w:val="center"/>
              <w:rPr>
                <w:rFonts w:hAnsiTheme="minorHAnsi" w:cstheme="minorHAnsi"/>
                <w:color w:val="000000"/>
                <w:sz w:val="18"/>
                <w:szCs w:val="18"/>
              </w:rPr>
            </w:pPr>
            <w:r>
              <w:rPr>
                <w:rFonts w:hAnsiTheme="minorHAnsi" w:cstheme="minorHAnsi"/>
                <w:color w:val="000000"/>
                <w:sz w:val="18"/>
                <w:szCs w:val="18"/>
              </w:rPr>
              <w:t>18</w:t>
            </w:r>
          </w:p>
        </w:tc>
        <w:tc>
          <w:tcPr>
            <w:tcW w:w="710" w:type="pct"/>
            <w:vAlign w:val="center"/>
          </w:tcPr>
          <w:p w14:paraId="5F3757C2" w14:textId="27C564FB" w:rsidR="00D80A55" w:rsidRPr="00A01261" w:rsidRDefault="00D80A55" w:rsidP="00D80A55">
            <w:pPr>
              <w:pStyle w:val="Ingetavstnd"/>
              <w:rPr>
                <w:rFonts w:hAnsiTheme="minorHAnsi" w:cstheme="minorHAnsi"/>
                <w:sz w:val="18"/>
                <w:szCs w:val="18"/>
              </w:rPr>
            </w:pPr>
            <w:r w:rsidRPr="00A01261">
              <w:rPr>
                <w:rFonts w:hAnsiTheme="minorHAnsi" w:cstheme="minorHAnsi"/>
                <w:color w:val="000000"/>
                <w:sz w:val="18"/>
                <w:szCs w:val="18"/>
              </w:rPr>
              <w:t xml:space="preserve">Risk </w:t>
            </w:r>
            <w:r>
              <w:rPr>
                <w:rFonts w:hAnsiTheme="minorHAnsi" w:cstheme="minorHAnsi"/>
                <w:color w:val="000000"/>
                <w:sz w:val="18"/>
                <w:szCs w:val="18"/>
              </w:rPr>
              <w:t>of</w:t>
            </w:r>
            <w:r w:rsidRPr="00A01261">
              <w:rPr>
                <w:rFonts w:hAnsiTheme="minorHAnsi" w:cstheme="minorHAnsi"/>
                <w:color w:val="000000"/>
                <w:sz w:val="18"/>
                <w:szCs w:val="18"/>
              </w:rPr>
              <w:t xml:space="preserve"> revision after ACL reconstruction is higher among </w:t>
            </w:r>
            <w:r w:rsidRPr="00A01261">
              <w:rPr>
                <w:rFonts w:hAnsiTheme="minorHAnsi" w:cstheme="minorHAnsi"/>
                <w:color w:val="000000"/>
                <w:sz w:val="18"/>
                <w:szCs w:val="18"/>
              </w:rPr>
              <w:lastRenderedPageBreak/>
              <w:t>ado</w:t>
            </w:r>
            <w:r>
              <w:rPr>
                <w:rFonts w:hAnsiTheme="minorHAnsi" w:cstheme="minorHAnsi"/>
                <w:color w:val="000000"/>
                <w:sz w:val="18"/>
                <w:szCs w:val="18"/>
              </w:rPr>
              <w:t>lescents: Results from the DKRR</w:t>
            </w:r>
            <w:r w:rsidRPr="00A01261">
              <w:rPr>
                <w:rFonts w:hAnsiTheme="minorHAnsi" w:cstheme="minorHAnsi"/>
                <w:color w:val="000000"/>
                <w:sz w:val="18"/>
                <w:szCs w:val="18"/>
              </w:rPr>
              <w:t xml:space="preserve"> </w:t>
            </w:r>
          </w:p>
        </w:tc>
        <w:tc>
          <w:tcPr>
            <w:tcW w:w="477" w:type="pct"/>
            <w:vAlign w:val="center"/>
          </w:tcPr>
          <w:p w14:paraId="692EA236" w14:textId="4EB8DA39" w:rsidR="00D80A55" w:rsidRPr="00A01261" w:rsidRDefault="00D80A55" w:rsidP="00D80A55">
            <w:pPr>
              <w:pStyle w:val="Ingetavstnd"/>
              <w:rPr>
                <w:rFonts w:hAnsiTheme="minorHAnsi" w:cstheme="minorHAnsi"/>
                <w:sz w:val="18"/>
                <w:szCs w:val="18"/>
              </w:rPr>
            </w:pPr>
            <w:r>
              <w:rPr>
                <w:rFonts w:hAnsiTheme="minorHAnsi" w:cstheme="minorHAnsi"/>
                <w:color w:val="000000"/>
                <w:sz w:val="18"/>
                <w:szCs w:val="18"/>
              </w:rPr>
              <w:lastRenderedPageBreak/>
              <w:t>To d</w:t>
            </w:r>
            <w:r w:rsidRPr="00A01261">
              <w:rPr>
                <w:rFonts w:hAnsiTheme="minorHAnsi" w:cstheme="minorHAnsi"/>
                <w:color w:val="000000"/>
                <w:sz w:val="18"/>
                <w:szCs w:val="18"/>
              </w:rPr>
              <w:t xml:space="preserve">escribe outcomes after ACLR in </w:t>
            </w:r>
            <w:r w:rsidRPr="00A01261">
              <w:rPr>
                <w:rFonts w:hAnsiTheme="minorHAnsi" w:cstheme="minorHAnsi"/>
                <w:color w:val="000000"/>
                <w:sz w:val="18"/>
                <w:szCs w:val="18"/>
              </w:rPr>
              <w:lastRenderedPageBreak/>
              <w:t>children and adolescents</w:t>
            </w:r>
          </w:p>
        </w:tc>
        <w:tc>
          <w:tcPr>
            <w:tcW w:w="574" w:type="pct"/>
            <w:vAlign w:val="center"/>
          </w:tcPr>
          <w:p w14:paraId="04595351" w14:textId="22D023D4" w:rsidR="00D80A55" w:rsidRDefault="00D80A55" w:rsidP="00D80A55">
            <w:pPr>
              <w:pStyle w:val="Ingetavstnd"/>
              <w:rPr>
                <w:rFonts w:hAnsiTheme="minorHAnsi" w:cstheme="minorHAnsi"/>
                <w:sz w:val="18"/>
                <w:szCs w:val="18"/>
              </w:rPr>
            </w:pPr>
            <w:r w:rsidRPr="007C2DB9">
              <w:rPr>
                <w:rFonts w:hAnsiTheme="minorHAnsi" w:cstheme="minorHAnsi"/>
                <w:sz w:val="18"/>
                <w:szCs w:val="18"/>
              </w:rPr>
              <w:lastRenderedPageBreak/>
              <w:t>KOOS</w:t>
            </w:r>
            <w:r>
              <w:rPr>
                <w:rFonts w:hAnsiTheme="minorHAnsi" w:cstheme="minorHAnsi"/>
                <w:sz w:val="18"/>
                <w:szCs w:val="18"/>
              </w:rPr>
              <w:t xml:space="preserve"> </w:t>
            </w:r>
          </w:p>
          <w:p w14:paraId="25FB3603" w14:textId="5C1C5304" w:rsidR="00D80A55" w:rsidRPr="007C2DB9" w:rsidRDefault="00D80A55" w:rsidP="00D80A55">
            <w:pPr>
              <w:pStyle w:val="Ingetavstnd"/>
              <w:rPr>
                <w:rFonts w:hAnsiTheme="minorHAnsi" w:cstheme="minorHAnsi"/>
                <w:sz w:val="18"/>
                <w:szCs w:val="18"/>
              </w:rPr>
            </w:pPr>
            <w:r>
              <w:rPr>
                <w:rFonts w:hAnsiTheme="minorHAnsi" w:cstheme="minorHAnsi"/>
                <w:sz w:val="18"/>
                <w:szCs w:val="18"/>
              </w:rPr>
              <w:t>KOOS4</w:t>
            </w:r>
          </w:p>
          <w:p w14:paraId="3D11F1AC" w14:textId="3F2E1CA7" w:rsidR="00D80A55" w:rsidRPr="00A01261" w:rsidRDefault="00D80A55" w:rsidP="00D80A55">
            <w:pPr>
              <w:pStyle w:val="Ingetavstnd"/>
              <w:rPr>
                <w:rFonts w:hAnsiTheme="minorHAnsi" w:cstheme="minorHAnsi"/>
                <w:sz w:val="18"/>
                <w:szCs w:val="18"/>
              </w:rPr>
            </w:pPr>
            <w:proofErr w:type="spellStart"/>
            <w:r w:rsidRPr="007C2DB9">
              <w:rPr>
                <w:rFonts w:hAnsiTheme="minorHAnsi" w:cstheme="minorHAnsi"/>
                <w:sz w:val="18"/>
                <w:szCs w:val="18"/>
              </w:rPr>
              <w:t>Tegner</w:t>
            </w:r>
            <w:proofErr w:type="spellEnd"/>
            <w:r w:rsidRPr="007C2DB9">
              <w:rPr>
                <w:rFonts w:hAnsiTheme="minorHAnsi" w:cstheme="minorHAnsi"/>
                <w:sz w:val="18"/>
                <w:szCs w:val="18"/>
              </w:rPr>
              <w:t xml:space="preserve"> score</w:t>
            </w:r>
          </w:p>
        </w:tc>
        <w:tc>
          <w:tcPr>
            <w:tcW w:w="441" w:type="pct"/>
            <w:vAlign w:val="center"/>
          </w:tcPr>
          <w:p w14:paraId="0E66B86E" w14:textId="6076BF14" w:rsidR="00D80A55" w:rsidRDefault="00D80A55" w:rsidP="00D80A55">
            <w:pPr>
              <w:pStyle w:val="Ingetavstnd"/>
              <w:rPr>
                <w:rFonts w:hAnsiTheme="minorHAnsi" w:cstheme="minorHAnsi"/>
                <w:color w:val="000000"/>
                <w:sz w:val="18"/>
                <w:szCs w:val="18"/>
              </w:rPr>
            </w:pPr>
            <w:r>
              <w:rPr>
                <w:rFonts w:hAnsiTheme="minorHAnsi" w:cstheme="minorHAnsi"/>
                <w:color w:val="000000"/>
                <w:sz w:val="18"/>
                <w:szCs w:val="18"/>
              </w:rPr>
              <w:t>Total cohort N = 14,806</w:t>
            </w:r>
          </w:p>
          <w:p w14:paraId="10390AE5" w14:textId="77777777" w:rsidR="00D80A55" w:rsidRDefault="00D80A55" w:rsidP="00D80A55">
            <w:pPr>
              <w:pStyle w:val="Ingetavstnd"/>
              <w:rPr>
                <w:rFonts w:hAnsiTheme="minorHAnsi" w:cstheme="minorHAnsi"/>
                <w:color w:val="000000"/>
                <w:sz w:val="18"/>
                <w:szCs w:val="18"/>
              </w:rPr>
            </w:pPr>
            <w:r>
              <w:rPr>
                <w:rFonts w:hAnsiTheme="minorHAnsi" w:cstheme="minorHAnsi"/>
                <w:color w:val="000000"/>
                <w:sz w:val="18"/>
                <w:szCs w:val="18"/>
              </w:rPr>
              <w:t>(F = 40%)</w:t>
            </w:r>
          </w:p>
          <w:p w14:paraId="74711737" w14:textId="56E1D921" w:rsidR="00D80A55" w:rsidRPr="00A01261" w:rsidRDefault="00D80A55" w:rsidP="00D80A55">
            <w:pPr>
              <w:pStyle w:val="Ingetavstnd"/>
              <w:rPr>
                <w:rFonts w:hAnsiTheme="minorHAnsi" w:cstheme="minorHAnsi"/>
                <w:sz w:val="18"/>
                <w:szCs w:val="18"/>
              </w:rPr>
            </w:pPr>
            <w:r>
              <w:rPr>
                <w:rFonts w:hAnsiTheme="minorHAnsi" w:cstheme="minorHAnsi"/>
                <w:color w:val="000000"/>
                <w:sz w:val="18"/>
                <w:szCs w:val="18"/>
              </w:rPr>
              <w:lastRenderedPageBreak/>
              <w:t xml:space="preserve">KOOS available for N = 4865. </w:t>
            </w:r>
            <w:proofErr w:type="spellStart"/>
            <w:r>
              <w:rPr>
                <w:rFonts w:hAnsiTheme="minorHAnsi" w:cstheme="minorHAnsi"/>
                <w:color w:val="000000"/>
                <w:sz w:val="18"/>
                <w:szCs w:val="18"/>
              </w:rPr>
              <w:t>Tegner</w:t>
            </w:r>
            <w:proofErr w:type="spellEnd"/>
            <w:r>
              <w:rPr>
                <w:rFonts w:hAnsiTheme="minorHAnsi" w:cstheme="minorHAnsi"/>
                <w:color w:val="000000"/>
                <w:sz w:val="18"/>
                <w:szCs w:val="18"/>
              </w:rPr>
              <w:t xml:space="preserve"> available for N = 3907</w:t>
            </w:r>
          </w:p>
        </w:tc>
        <w:tc>
          <w:tcPr>
            <w:tcW w:w="444" w:type="pct"/>
            <w:vAlign w:val="center"/>
          </w:tcPr>
          <w:p w14:paraId="3194A0FA" w14:textId="4369A86F" w:rsidR="00D80A55" w:rsidRPr="00A01261" w:rsidRDefault="00D80A55" w:rsidP="00D80A55">
            <w:pPr>
              <w:pStyle w:val="Ingetavstnd"/>
              <w:rPr>
                <w:rFonts w:hAnsiTheme="minorHAnsi" w:cstheme="minorHAnsi"/>
                <w:sz w:val="18"/>
                <w:szCs w:val="18"/>
              </w:rPr>
            </w:pPr>
            <w:r>
              <w:rPr>
                <w:rFonts w:hAnsiTheme="minorHAnsi" w:cstheme="minorHAnsi"/>
                <w:color w:val="000000"/>
                <w:sz w:val="18"/>
                <w:szCs w:val="18"/>
              </w:rPr>
              <w:lastRenderedPageBreak/>
              <w:t>1 year</w:t>
            </w:r>
            <w:r w:rsidRPr="00A01261">
              <w:rPr>
                <w:rFonts w:hAnsiTheme="minorHAnsi" w:cstheme="minorHAnsi"/>
                <w:color w:val="000000"/>
                <w:sz w:val="18"/>
                <w:szCs w:val="18"/>
              </w:rPr>
              <w:t xml:space="preserve"> </w:t>
            </w:r>
          </w:p>
        </w:tc>
        <w:tc>
          <w:tcPr>
            <w:tcW w:w="424" w:type="pct"/>
            <w:vAlign w:val="center"/>
          </w:tcPr>
          <w:p w14:paraId="2DF0645F" w14:textId="1DC7588D" w:rsidR="00D80A55" w:rsidRPr="00A01261" w:rsidRDefault="00D80A55" w:rsidP="00D80A55">
            <w:pPr>
              <w:pStyle w:val="Ingetavstnd"/>
              <w:rPr>
                <w:rFonts w:hAnsiTheme="minorHAnsi" w:cstheme="minorHAnsi"/>
                <w:sz w:val="18"/>
                <w:szCs w:val="18"/>
              </w:rPr>
            </w:pPr>
            <w:r>
              <w:rPr>
                <w:rFonts w:hAnsiTheme="minorHAnsi" w:cstheme="minorHAnsi"/>
                <w:color w:val="000000"/>
                <w:sz w:val="18"/>
                <w:szCs w:val="18"/>
              </w:rPr>
              <w:t xml:space="preserve">Kruskal-Wallis test and </w:t>
            </w:r>
            <w:r>
              <w:rPr>
                <w:rFonts w:hAnsiTheme="minorHAnsi" w:cstheme="minorHAnsi"/>
                <w:color w:val="000000"/>
                <w:sz w:val="18"/>
                <w:szCs w:val="18"/>
              </w:rPr>
              <w:lastRenderedPageBreak/>
              <w:t>regression analysis.</w:t>
            </w:r>
          </w:p>
        </w:tc>
        <w:tc>
          <w:tcPr>
            <w:tcW w:w="932" w:type="pct"/>
            <w:vAlign w:val="center"/>
          </w:tcPr>
          <w:p w14:paraId="7A476A46" w14:textId="19DC16A1" w:rsidR="00D80A55" w:rsidRPr="00A01261" w:rsidRDefault="00D80A55" w:rsidP="00D80A55">
            <w:pPr>
              <w:pStyle w:val="Ingetavstnd"/>
              <w:rPr>
                <w:rFonts w:hAnsiTheme="minorHAnsi" w:cstheme="minorHAnsi"/>
                <w:sz w:val="18"/>
                <w:szCs w:val="18"/>
              </w:rPr>
            </w:pPr>
            <w:r>
              <w:rPr>
                <w:rFonts w:hAnsiTheme="minorHAnsi" w:cstheme="minorHAnsi"/>
                <w:color w:val="000000"/>
                <w:sz w:val="18"/>
                <w:szCs w:val="18"/>
              </w:rPr>
              <w:lastRenderedPageBreak/>
              <w:t xml:space="preserve">The younger age groups showed significantly better KOOS and </w:t>
            </w:r>
            <w:proofErr w:type="spellStart"/>
            <w:r>
              <w:rPr>
                <w:rFonts w:hAnsiTheme="minorHAnsi" w:cstheme="minorHAnsi"/>
                <w:color w:val="000000"/>
                <w:sz w:val="18"/>
                <w:szCs w:val="18"/>
              </w:rPr>
              <w:t>Tegner</w:t>
            </w:r>
            <w:proofErr w:type="spellEnd"/>
            <w:r>
              <w:rPr>
                <w:rFonts w:hAnsiTheme="minorHAnsi" w:cstheme="minorHAnsi"/>
                <w:color w:val="000000"/>
                <w:sz w:val="18"/>
                <w:szCs w:val="18"/>
              </w:rPr>
              <w:t xml:space="preserve"> scores and had lower </w:t>
            </w:r>
            <w:r>
              <w:rPr>
                <w:rFonts w:hAnsiTheme="minorHAnsi" w:cstheme="minorHAnsi"/>
                <w:color w:val="000000"/>
                <w:sz w:val="18"/>
                <w:szCs w:val="18"/>
              </w:rPr>
              <w:lastRenderedPageBreak/>
              <w:t xml:space="preserve">failure rates, defined as QoL ≤ 44 and </w:t>
            </w:r>
            <w:proofErr w:type="spellStart"/>
            <w:r>
              <w:rPr>
                <w:rFonts w:hAnsiTheme="minorHAnsi" w:cstheme="minorHAnsi"/>
                <w:color w:val="000000"/>
                <w:sz w:val="18"/>
                <w:szCs w:val="18"/>
              </w:rPr>
              <w:t>Tegner</w:t>
            </w:r>
            <w:proofErr w:type="spellEnd"/>
            <w:r>
              <w:rPr>
                <w:rFonts w:hAnsiTheme="minorHAnsi" w:cstheme="minorHAnsi"/>
                <w:color w:val="000000"/>
                <w:sz w:val="18"/>
                <w:szCs w:val="18"/>
              </w:rPr>
              <w:t xml:space="preserve"> ≤ 2. Older patients had a significantly worse KOOS4 compared with the younger patients. </w:t>
            </w:r>
          </w:p>
        </w:tc>
      </w:tr>
      <w:tr w:rsidR="00D80A55" w:rsidRPr="00A01261" w14:paraId="3917D02F" w14:textId="77777777" w:rsidTr="00D80A55">
        <w:tc>
          <w:tcPr>
            <w:tcW w:w="448" w:type="pct"/>
            <w:vAlign w:val="center"/>
          </w:tcPr>
          <w:p w14:paraId="6FF7BF9E" w14:textId="62C5F001" w:rsidR="00D80A55" w:rsidRPr="00A01261" w:rsidRDefault="00D80A55" w:rsidP="00D80A55">
            <w:pPr>
              <w:pStyle w:val="Ingetavstnd"/>
              <w:rPr>
                <w:rFonts w:hAnsiTheme="minorHAnsi" w:cstheme="minorHAnsi"/>
                <w:sz w:val="18"/>
                <w:szCs w:val="18"/>
              </w:rPr>
            </w:pPr>
            <w:r w:rsidRPr="00DE500A">
              <w:rPr>
                <w:rFonts w:hAnsiTheme="minorHAnsi" w:cstheme="minorHAnsi"/>
                <w:sz w:val="18"/>
                <w:szCs w:val="18"/>
              </w:rPr>
              <w:lastRenderedPageBreak/>
              <w:t>Fältström et al (2016)</w:t>
            </w:r>
          </w:p>
        </w:tc>
        <w:tc>
          <w:tcPr>
            <w:tcW w:w="290" w:type="pct"/>
            <w:vAlign w:val="center"/>
          </w:tcPr>
          <w:p w14:paraId="2A43233B" w14:textId="52C1BE77" w:rsidR="00D80A55" w:rsidRPr="00A01261" w:rsidRDefault="00D80A55" w:rsidP="00D80A55">
            <w:pPr>
              <w:pStyle w:val="Ingetavstnd"/>
              <w:jc w:val="center"/>
              <w:rPr>
                <w:rFonts w:hAnsiTheme="minorHAnsi" w:cstheme="minorHAnsi"/>
                <w:color w:val="000000"/>
                <w:sz w:val="18"/>
                <w:szCs w:val="18"/>
              </w:rPr>
            </w:pPr>
            <w:proofErr w:type="spellStart"/>
            <w:r>
              <w:rPr>
                <w:rFonts w:hAnsiTheme="minorHAnsi" w:cstheme="minorHAnsi"/>
                <w:color w:val="000000"/>
                <w:sz w:val="18"/>
                <w:szCs w:val="18"/>
              </w:rPr>
              <w:t>Swe</w:t>
            </w:r>
            <w:proofErr w:type="spellEnd"/>
          </w:p>
        </w:tc>
        <w:tc>
          <w:tcPr>
            <w:tcW w:w="260" w:type="pct"/>
            <w:vAlign w:val="center"/>
          </w:tcPr>
          <w:p w14:paraId="5E42514C" w14:textId="1E776872" w:rsidR="00D80A55" w:rsidRPr="0095628A" w:rsidRDefault="00D80A55" w:rsidP="00D80A55">
            <w:pPr>
              <w:pStyle w:val="Ingetavstnd"/>
              <w:jc w:val="center"/>
              <w:rPr>
                <w:rFonts w:hAnsiTheme="minorHAnsi" w:cstheme="minorHAnsi"/>
                <w:color w:val="000000"/>
                <w:sz w:val="18"/>
                <w:szCs w:val="18"/>
              </w:rPr>
            </w:pPr>
            <w:r>
              <w:rPr>
                <w:rFonts w:hAnsiTheme="minorHAnsi" w:cstheme="minorHAnsi"/>
                <w:color w:val="000000"/>
                <w:sz w:val="18"/>
                <w:szCs w:val="18"/>
              </w:rPr>
              <w:t>18</w:t>
            </w:r>
          </w:p>
        </w:tc>
        <w:tc>
          <w:tcPr>
            <w:tcW w:w="710" w:type="pct"/>
            <w:vAlign w:val="center"/>
          </w:tcPr>
          <w:p w14:paraId="118C8C8E" w14:textId="17D84100" w:rsidR="00D80A55" w:rsidRPr="0095628A" w:rsidRDefault="00D80A55" w:rsidP="00D80A55">
            <w:pPr>
              <w:pStyle w:val="Ingetavstnd"/>
              <w:rPr>
                <w:rFonts w:hAnsiTheme="minorHAnsi" w:cstheme="minorHAnsi"/>
                <w:color w:val="000000"/>
                <w:sz w:val="18"/>
                <w:szCs w:val="18"/>
              </w:rPr>
            </w:pPr>
            <w:r w:rsidRPr="0095628A">
              <w:rPr>
                <w:rFonts w:hAnsiTheme="minorHAnsi" w:cstheme="minorHAnsi"/>
                <w:color w:val="000000"/>
                <w:sz w:val="18"/>
                <w:szCs w:val="18"/>
              </w:rPr>
              <w:t xml:space="preserve">Predictors </w:t>
            </w:r>
            <w:r>
              <w:rPr>
                <w:rFonts w:hAnsiTheme="minorHAnsi" w:cstheme="minorHAnsi"/>
                <w:color w:val="000000"/>
                <w:sz w:val="18"/>
                <w:szCs w:val="18"/>
              </w:rPr>
              <w:t>of</w:t>
            </w:r>
            <w:r w:rsidRPr="0095628A">
              <w:rPr>
                <w:rFonts w:hAnsiTheme="minorHAnsi" w:cstheme="minorHAnsi"/>
                <w:color w:val="000000"/>
                <w:sz w:val="18"/>
                <w:szCs w:val="18"/>
              </w:rPr>
              <w:t xml:space="preserve"> additional anterior cruciate ligament</w:t>
            </w:r>
          </w:p>
          <w:p w14:paraId="0E7EF16F" w14:textId="57F8D929" w:rsidR="00D80A55" w:rsidRPr="00A01261" w:rsidRDefault="00D80A55" w:rsidP="00D80A55">
            <w:pPr>
              <w:pStyle w:val="Ingetavstnd"/>
              <w:rPr>
                <w:rFonts w:hAnsiTheme="minorHAnsi" w:cstheme="minorHAnsi"/>
                <w:sz w:val="18"/>
                <w:szCs w:val="18"/>
              </w:rPr>
            </w:pPr>
            <w:r w:rsidRPr="0095628A">
              <w:rPr>
                <w:rFonts w:hAnsiTheme="minorHAnsi" w:cstheme="minorHAnsi"/>
                <w:color w:val="000000"/>
                <w:sz w:val="18"/>
                <w:szCs w:val="18"/>
              </w:rPr>
              <w:t>reconstruction: data from the Swedish national ACL register</w:t>
            </w:r>
          </w:p>
        </w:tc>
        <w:tc>
          <w:tcPr>
            <w:tcW w:w="477" w:type="pct"/>
            <w:vAlign w:val="center"/>
          </w:tcPr>
          <w:p w14:paraId="3700EB7E" w14:textId="00AFCEDE" w:rsidR="00D80A55" w:rsidRPr="00A01261" w:rsidRDefault="00D80A55" w:rsidP="00D80A55">
            <w:pPr>
              <w:pStyle w:val="Ingetavstnd"/>
              <w:rPr>
                <w:rFonts w:hAnsiTheme="minorHAnsi" w:cstheme="minorHAnsi"/>
                <w:sz w:val="18"/>
                <w:szCs w:val="18"/>
              </w:rPr>
            </w:pPr>
            <w:r w:rsidRPr="0095628A">
              <w:rPr>
                <w:rFonts w:hAnsiTheme="minorHAnsi" w:cstheme="minorHAnsi"/>
                <w:color w:val="000000"/>
                <w:sz w:val="18"/>
                <w:szCs w:val="18"/>
              </w:rPr>
              <w:t>To identify predict</w:t>
            </w:r>
            <w:r>
              <w:rPr>
                <w:rFonts w:hAnsiTheme="minorHAnsi" w:cstheme="minorHAnsi"/>
                <w:color w:val="000000"/>
                <w:sz w:val="18"/>
                <w:szCs w:val="18"/>
              </w:rPr>
              <w:t>ors of additional anterior cru</w:t>
            </w:r>
            <w:r w:rsidRPr="0095628A">
              <w:rPr>
                <w:rFonts w:hAnsiTheme="minorHAnsi" w:cstheme="minorHAnsi"/>
                <w:color w:val="000000"/>
                <w:sz w:val="18"/>
                <w:szCs w:val="18"/>
              </w:rPr>
              <w:t>ciate ligament (ACL) reconstruction</w:t>
            </w:r>
          </w:p>
        </w:tc>
        <w:tc>
          <w:tcPr>
            <w:tcW w:w="574" w:type="pct"/>
            <w:vAlign w:val="center"/>
          </w:tcPr>
          <w:p w14:paraId="39571525" w14:textId="348EA7FD" w:rsidR="00D80A55" w:rsidRPr="00A01261" w:rsidRDefault="00D80A55" w:rsidP="00D80A55">
            <w:pPr>
              <w:pStyle w:val="Ingetavstnd"/>
              <w:rPr>
                <w:rFonts w:hAnsiTheme="minorHAnsi" w:cstheme="minorHAnsi"/>
                <w:sz w:val="18"/>
                <w:szCs w:val="18"/>
              </w:rPr>
            </w:pPr>
            <w:r>
              <w:rPr>
                <w:rFonts w:hAnsiTheme="minorHAnsi" w:cstheme="minorHAnsi"/>
                <w:color w:val="000000"/>
                <w:sz w:val="18"/>
                <w:szCs w:val="18"/>
              </w:rPr>
              <w:t>Revision ACLR and contralateral ACLR</w:t>
            </w:r>
          </w:p>
        </w:tc>
        <w:tc>
          <w:tcPr>
            <w:tcW w:w="441" w:type="pct"/>
            <w:vAlign w:val="center"/>
          </w:tcPr>
          <w:p w14:paraId="5496B497" w14:textId="77777777" w:rsidR="00D80A55" w:rsidRDefault="00D80A55" w:rsidP="00D80A55">
            <w:pPr>
              <w:pStyle w:val="Ingetavstnd"/>
              <w:rPr>
                <w:rFonts w:hAnsiTheme="minorHAnsi" w:cstheme="minorHAnsi"/>
                <w:color w:val="000000"/>
                <w:sz w:val="18"/>
                <w:szCs w:val="18"/>
              </w:rPr>
            </w:pPr>
            <w:r>
              <w:rPr>
                <w:rFonts w:hAnsiTheme="minorHAnsi" w:cstheme="minorHAnsi"/>
                <w:color w:val="000000"/>
                <w:sz w:val="18"/>
                <w:szCs w:val="18"/>
              </w:rPr>
              <w:t xml:space="preserve">N = 22,429 </w:t>
            </w:r>
          </w:p>
          <w:p w14:paraId="349AECA2" w14:textId="77777777" w:rsidR="00D80A55" w:rsidRDefault="00D80A55" w:rsidP="00D80A55">
            <w:pPr>
              <w:pStyle w:val="Ingetavstnd"/>
              <w:rPr>
                <w:rFonts w:hAnsiTheme="minorHAnsi" w:cstheme="minorHAnsi"/>
                <w:color w:val="000000"/>
                <w:sz w:val="18"/>
                <w:szCs w:val="18"/>
              </w:rPr>
            </w:pPr>
            <w:r>
              <w:rPr>
                <w:rFonts w:hAnsiTheme="minorHAnsi" w:cstheme="minorHAnsi"/>
                <w:color w:val="000000"/>
                <w:sz w:val="18"/>
                <w:szCs w:val="18"/>
              </w:rPr>
              <w:t>No revision = 19,531</w:t>
            </w:r>
          </w:p>
          <w:p w14:paraId="3674CC48" w14:textId="77777777" w:rsidR="00D80A55" w:rsidRDefault="00D80A55" w:rsidP="00D80A55">
            <w:pPr>
              <w:pStyle w:val="Ingetavstnd"/>
              <w:rPr>
                <w:rFonts w:hAnsiTheme="minorHAnsi" w:cstheme="minorHAnsi"/>
                <w:color w:val="000000"/>
                <w:sz w:val="18"/>
                <w:szCs w:val="18"/>
              </w:rPr>
            </w:pPr>
            <w:r>
              <w:rPr>
                <w:rFonts w:hAnsiTheme="minorHAnsi" w:cstheme="minorHAnsi"/>
                <w:color w:val="000000"/>
                <w:sz w:val="18"/>
                <w:szCs w:val="18"/>
              </w:rPr>
              <w:t>Revision = 702</w:t>
            </w:r>
          </w:p>
          <w:p w14:paraId="5CD2F425" w14:textId="39CDC04C" w:rsidR="00D80A55" w:rsidRPr="00A01261" w:rsidRDefault="00D80A55" w:rsidP="00D80A55">
            <w:pPr>
              <w:pStyle w:val="Ingetavstnd"/>
              <w:rPr>
                <w:rFonts w:hAnsiTheme="minorHAnsi" w:cstheme="minorHAnsi"/>
                <w:sz w:val="18"/>
                <w:szCs w:val="18"/>
              </w:rPr>
            </w:pPr>
            <w:r>
              <w:rPr>
                <w:rFonts w:hAnsiTheme="minorHAnsi" w:cstheme="minorHAnsi"/>
                <w:color w:val="000000"/>
                <w:sz w:val="18"/>
                <w:szCs w:val="18"/>
              </w:rPr>
              <w:t>Contralateral = 591</w:t>
            </w:r>
          </w:p>
        </w:tc>
        <w:tc>
          <w:tcPr>
            <w:tcW w:w="444" w:type="pct"/>
            <w:vAlign w:val="center"/>
          </w:tcPr>
          <w:p w14:paraId="23ED2921" w14:textId="2556EACB" w:rsidR="00D80A55" w:rsidRPr="00A01261" w:rsidRDefault="00D80A55" w:rsidP="00D80A55">
            <w:pPr>
              <w:pStyle w:val="Ingetavstnd"/>
              <w:rPr>
                <w:rFonts w:hAnsiTheme="minorHAnsi" w:cstheme="minorHAnsi"/>
                <w:sz w:val="18"/>
                <w:szCs w:val="18"/>
              </w:rPr>
            </w:pPr>
            <w:r>
              <w:rPr>
                <w:rFonts w:hAnsiTheme="minorHAnsi" w:cstheme="minorHAnsi"/>
                <w:color w:val="000000"/>
                <w:sz w:val="18"/>
                <w:szCs w:val="18"/>
              </w:rPr>
              <w:t>6-104 months</w:t>
            </w:r>
          </w:p>
        </w:tc>
        <w:tc>
          <w:tcPr>
            <w:tcW w:w="424" w:type="pct"/>
            <w:vAlign w:val="center"/>
          </w:tcPr>
          <w:p w14:paraId="5C4F89DD" w14:textId="127A36A8" w:rsidR="00D80A55" w:rsidRPr="00A01261" w:rsidRDefault="00D80A55" w:rsidP="00D80A55">
            <w:pPr>
              <w:pStyle w:val="Ingetavstnd"/>
              <w:rPr>
                <w:rFonts w:hAnsiTheme="minorHAnsi" w:cstheme="minorHAnsi"/>
                <w:sz w:val="18"/>
                <w:szCs w:val="18"/>
              </w:rPr>
            </w:pPr>
            <w:r>
              <w:rPr>
                <w:rFonts w:hAnsiTheme="minorHAnsi" w:cstheme="minorHAnsi"/>
                <w:color w:val="000000"/>
                <w:sz w:val="18"/>
                <w:szCs w:val="18"/>
              </w:rPr>
              <w:t>Simple and multivariate Cox proportional hazards regression</w:t>
            </w:r>
          </w:p>
        </w:tc>
        <w:tc>
          <w:tcPr>
            <w:tcW w:w="932" w:type="pct"/>
            <w:vAlign w:val="center"/>
          </w:tcPr>
          <w:p w14:paraId="7268C9EF" w14:textId="09E9A2B4" w:rsidR="00D80A55" w:rsidRPr="00A01261" w:rsidRDefault="00D80A55" w:rsidP="00D80A55">
            <w:pPr>
              <w:pStyle w:val="Ingetavstnd"/>
              <w:rPr>
                <w:rFonts w:hAnsiTheme="minorHAnsi" w:cstheme="minorHAnsi"/>
                <w:sz w:val="18"/>
                <w:szCs w:val="18"/>
              </w:rPr>
            </w:pPr>
            <w:r>
              <w:rPr>
                <w:rFonts w:hAnsiTheme="minorHAnsi" w:cstheme="minorHAnsi"/>
                <w:color w:val="000000"/>
                <w:sz w:val="18"/>
                <w:szCs w:val="18"/>
              </w:rPr>
              <w:t>In terms of preoperative PROMs, lower values in the KOOS symptoms subscale, EQ-5D index and EQ VAS predicted revision ACLR. Contralateral ACLR was predicted by higher preoperative values in the KOOS subscales pain, ADL, sport/recreation and QoL</w:t>
            </w:r>
            <w:r w:rsidRPr="006C2532">
              <w:rPr>
                <w:rFonts w:hAnsiTheme="minorHAnsi" w:cstheme="minorHAnsi"/>
                <w:color w:val="000000"/>
                <w:sz w:val="18"/>
                <w:szCs w:val="18"/>
              </w:rPr>
              <w:t>.</w:t>
            </w:r>
            <w:r>
              <w:rPr>
                <w:rFonts w:hAnsiTheme="minorHAnsi" w:cstheme="minorHAnsi"/>
                <w:color w:val="000000"/>
                <w:sz w:val="18"/>
                <w:szCs w:val="18"/>
              </w:rPr>
              <w:t xml:space="preserve"> </w:t>
            </w:r>
          </w:p>
        </w:tc>
      </w:tr>
      <w:tr w:rsidR="00D80A55" w:rsidRPr="00A01261" w14:paraId="558FAD46" w14:textId="77777777" w:rsidTr="00D80A55">
        <w:tc>
          <w:tcPr>
            <w:tcW w:w="448" w:type="pct"/>
            <w:vAlign w:val="center"/>
          </w:tcPr>
          <w:p w14:paraId="3AFBDE81" w14:textId="38B861A9" w:rsidR="00D80A55" w:rsidRPr="00A01261" w:rsidRDefault="00D80A55" w:rsidP="00D80A55">
            <w:pPr>
              <w:pStyle w:val="Ingetavstnd"/>
              <w:rPr>
                <w:rFonts w:hAnsiTheme="minorHAnsi" w:cstheme="minorHAnsi"/>
                <w:sz w:val="18"/>
                <w:szCs w:val="18"/>
              </w:rPr>
            </w:pPr>
            <w:proofErr w:type="spellStart"/>
            <w:r w:rsidRPr="00A01261">
              <w:rPr>
                <w:rFonts w:hAnsiTheme="minorHAnsi" w:cstheme="minorHAnsi"/>
                <w:sz w:val="18"/>
                <w:szCs w:val="18"/>
              </w:rPr>
              <w:t>Granan</w:t>
            </w:r>
            <w:proofErr w:type="spellEnd"/>
            <w:r w:rsidRPr="00A01261">
              <w:rPr>
                <w:rFonts w:hAnsiTheme="minorHAnsi" w:cstheme="minorHAnsi"/>
                <w:sz w:val="18"/>
                <w:szCs w:val="18"/>
              </w:rPr>
              <w:t xml:space="preserve"> </w:t>
            </w:r>
            <w:r>
              <w:rPr>
                <w:rFonts w:hAnsiTheme="minorHAnsi" w:cstheme="minorHAnsi"/>
                <w:sz w:val="18"/>
                <w:szCs w:val="18"/>
              </w:rPr>
              <w:t xml:space="preserve">et al </w:t>
            </w:r>
            <w:r w:rsidRPr="00A01261">
              <w:rPr>
                <w:rFonts w:hAnsiTheme="minorHAnsi" w:cstheme="minorHAnsi"/>
                <w:sz w:val="18"/>
                <w:szCs w:val="18"/>
              </w:rPr>
              <w:t>(2015)</w:t>
            </w:r>
          </w:p>
        </w:tc>
        <w:tc>
          <w:tcPr>
            <w:tcW w:w="290" w:type="pct"/>
            <w:vAlign w:val="center"/>
          </w:tcPr>
          <w:p w14:paraId="523182DF" w14:textId="7018D943" w:rsidR="00D80A55" w:rsidRDefault="00D80A55" w:rsidP="00D80A55">
            <w:pPr>
              <w:pStyle w:val="Ingetavstnd"/>
              <w:jc w:val="center"/>
              <w:rPr>
                <w:rFonts w:hAnsiTheme="minorHAnsi" w:cstheme="minorHAnsi"/>
                <w:color w:val="000000"/>
                <w:sz w:val="18"/>
                <w:szCs w:val="18"/>
              </w:rPr>
            </w:pPr>
            <w:r>
              <w:rPr>
                <w:rFonts w:hAnsiTheme="minorHAnsi" w:cstheme="minorHAnsi"/>
                <w:color w:val="000000"/>
                <w:sz w:val="18"/>
                <w:szCs w:val="18"/>
              </w:rPr>
              <w:t>Nor</w:t>
            </w:r>
          </w:p>
        </w:tc>
        <w:tc>
          <w:tcPr>
            <w:tcW w:w="260" w:type="pct"/>
            <w:vAlign w:val="center"/>
          </w:tcPr>
          <w:p w14:paraId="013CAFC1" w14:textId="6298398C" w:rsidR="00D80A55" w:rsidRPr="00A01261" w:rsidRDefault="00D80A55" w:rsidP="00D80A55">
            <w:pPr>
              <w:pStyle w:val="Ingetavstnd"/>
              <w:jc w:val="center"/>
              <w:rPr>
                <w:rFonts w:hAnsiTheme="minorHAnsi" w:cstheme="minorHAnsi"/>
                <w:color w:val="000000"/>
                <w:sz w:val="18"/>
                <w:szCs w:val="18"/>
              </w:rPr>
            </w:pPr>
            <w:r>
              <w:rPr>
                <w:rFonts w:hAnsiTheme="minorHAnsi" w:cstheme="minorHAnsi"/>
                <w:color w:val="000000"/>
                <w:sz w:val="18"/>
                <w:szCs w:val="18"/>
              </w:rPr>
              <w:t>19</w:t>
            </w:r>
          </w:p>
        </w:tc>
        <w:tc>
          <w:tcPr>
            <w:tcW w:w="710" w:type="pct"/>
            <w:vAlign w:val="center"/>
          </w:tcPr>
          <w:p w14:paraId="6B93CD95" w14:textId="1D2DCDCB" w:rsidR="00D80A55" w:rsidRPr="00A01261" w:rsidRDefault="00D80A55" w:rsidP="00D80A55">
            <w:pPr>
              <w:pStyle w:val="Ingetavstnd"/>
              <w:rPr>
                <w:rFonts w:hAnsiTheme="minorHAnsi" w:cstheme="minorHAnsi"/>
                <w:sz w:val="18"/>
                <w:szCs w:val="18"/>
              </w:rPr>
            </w:pPr>
            <w:r w:rsidRPr="00A01261">
              <w:rPr>
                <w:rFonts w:hAnsiTheme="minorHAnsi" w:cstheme="minorHAnsi"/>
                <w:color w:val="000000"/>
                <w:sz w:val="18"/>
                <w:szCs w:val="18"/>
              </w:rPr>
              <w:t>Associations between inadequate knee function detected by</w:t>
            </w:r>
            <w:r>
              <w:rPr>
                <w:rFonts w:hAnsiTheme="minorHAnsi" w:cstheme="minorHAnsi"/>
                <w:color w:val="000000"/>
                <w:sz w:val="18"/>
                <w:szCs w:val="18"/>
              </w:rPr>
              <w:t xml:space="preserve"> the</w:t>
            </w:r>
            <w:r w:rsidRPr="00A01261">
              <w:rPr>
                <w:rFonts w:hAnsiTheme="minorHAnsi" w:cstheme="minorHAnsi"/>
                <w:color w:val="000000"/>
                <w:sz w:val="18"/>
                <w:szCs w:val="18"/>
              </w:rPr>
              <w:t xml:space="preserve"> KOOS and prospective graft failure in an ACL</w:t>
            </w:r>
            <w:r>
              <w:rPr>
                <w:rFonts w:hAnsiTheme="minorHAnsi" w:cstheme="minorHAnsi"/>
                <w:color w:val="000000"/>
                <w:sz w:val="18"/>
                <w:szCs w:val="18"/>
              </w:rPr>
              <w:t>-</w:t>
            </w:r>
            <w:r w:rsidRPr="00A01261">
              <w:rPr>
                <w:rFonts w:hAnsiTheme="minorHAnsi" w:cstheme="minorHAnsi"/>
                <w:color w:val="000000"/>
                <w:sz w:val="18"/>
                <w:szCs w:val="18"/>
              </w:rPr>
              <w:t>reconstructed knee</w:t>
            </w:r>
          </w:p>
        </w:tc>
        <w:tc>
          <w:tcPr>
            <w:tcW w:w="477" w:type="pct"/>
            <w:vAlign w:val="center"/>
          </w:tcPr>
          <w:p w14:paraId="2042BB5A" w14:textId="39390B95" w:rsidR="00D80A55" w:rsidRPr="00A01261" w:rsidRDefault="00D80A55" w:rsidP="00D80A55">
            <w:pPr>
              <w:pStyle w:val="Ingetavstnd"/>
              <w:rPr>
                <w:rFonts w:hAnsiTheme="minorHAnsi" w:cstheme="minorHAnsi"/>
                <w:sz w:val="18"/>
                <w:szCs w:val="18"/>
              </w:rPr>
            </w:pPr>
            <w:r w:rsidRPr="00A01261">
              <w:rPr>
                <w:rFonts w:hAnsiTheme="minorHAnsi" w:cstheme="minorHAnsi"/>
                <w:color w:val="000000"/>
                <w:sz w:val="18"/>
                <w:szCs w:val="18"/>
              </w:rPr>
              <w:t xml:space="preserve">To investigate KOOS differences between revision cases and primary ACLR. To test </w:t>
            </w:r>
            <w:r>
              <w:rPr>
                <w:rFonts w:hAnsiTheme="minorHAnsi" w:cstheme="minorHAnsi"/>
                <w:color w:val="000000"/>
                <w:sz w:val="18"/>
                <w:szCs w:val="18"/>
              </w:rPr>
              <w:t>whether</w:t>
            </w:r>
            <w:r w:rsidRPr="00A01261">
              <w:rPr>
                <w:rFonts w:hAnsiTheme="minorHAnsi" w:cstheme="minorHAnsi"/>
                <w:color w:val="000000"/>
                <w:sz w:val="18"/>
                <w:szCs w:val="18"/>
              </w:rPr>
              <w:t xml:space="preserve"> QoL &lt;</w:t>
            </w:r>
            <w:r>
              <w:rPr>
                <w:rFonts w:hAnsiTheme="minorHAnsi" w:cstheme="minorHAnsi"/>
                <w:color w:val="000000"/>
                <w:sz w:val="18"/>
                <w:szCs w:val="18"/>
              </w:rPr>
              <w:t xml:space="preserve"> </w:t>
            </w:r>
            <w:r w:rsidRPr="00A01261">
              <w:rPr>
                <w:rFonts w:hAnsiTheme="minorHAnsi" w:cstheme="minorHAnsi"/>
                <w:color w:val="000000"/>
                <w:sz w:val="18"/>
                <w:szCs w:val="18"/>
              </w:rPr>
              <w:t>44 could influence</w:t>
            </w:r>
            <w:r>
              <w:rPr>
                <w:rFonts w:hAnsiTheme="minorHAnsi" w:cstheme="minorHAnsi"/>
                <w:color w:val="000000"/>
                <w:sz w:val="18"/>
                <w:szCs w:val="18"/>
              </w:rPr>
              <w:t xml:space="preserve"> the</w:t>
            </w:r>
            <w:r w:rsidRPr="00A01261">
              <w:rPr>
                <w:rFonts w:hAnsiTheme="minorHAnsi" w:cstheme="minorHAnsi"/>
                <w:color w:val="000000"/>
                <w:sz w:val="18"/>
                <w:szCs w:val="18"/>
              </w:rPr>
              <w:t xml:space="preserve"> risk of revision</w:t>
            </w:r>
          </w:p>
        </w:tc>
        <w:tc>
          <w:tcPr>
            <w:tcW w:w="574" w:type="pct"/>
            <w:vAlign w:val="center"/>
          </w:tcPr>
          <w:p w14:paraId="3B1A26AA" w14:textId="5C7E325D" w:rsidR="00D80A55" w:rsidRPr="00A01261" w:rsidRDefault="00D80A55" w:rsidP="00D80A55">
            <w:pPr>
              <w:pStyle w:val="Ingetavstnd"/>
              <w:rPr>
                <w:rFonts w:hAnsiTheme="minorHAnsi" w:cstheme="minorHAnsi"/>
                <w:sz w:val="18"/>
                <w:szCs w:val="18"/>
              </w:rPr>
            </w:pPr>
            <w:r w:rsidRPr="00A01261">
              <w:rPr>
                <w:rFonts w:hAnsiTheme="minorHAnsi" w:cstheme="minorHAnsi"/>
                <w:color w:val="000000"/>
                <w:sz w:val="18"/>
                <w:szCs w:val="18"/>
              </w:rPr>
              <w:t>KOOS</w:t>
            </w:r>
          </w:p>
        </w:tc>
        <w:tc>
          <w:tcPr>
            <w:tcW w:w="441" w:type="pct"/>
            <w:vAlign w:val="center"/>
          </w:tcPr>
          <w:p w14:paraId="754A1FB8" w14:textId="705EEE74" w:rsidR="00D80A55" w:rsidRPr="00A01261" w:rsidRDefault="00D80A55" w:rsidP="00D80A55">
            <w:pPr>
              <w:pStyle w:val="Ingetavstnd"/>
              <w:rPr>
                <w:rFonts w:hAnsiTheme="minorHAnsi" w:cstheme="minorHAnsi"/>
                <w:sz w:val="18"/>
                <w:szCs w:val="18"/>
              </w:rPr>
            </w:pPr>
            <w:r>
              <w:rPr>
                <w:rFonts w:hAnsiTheme="minorHAnsi" w:cstheme="minorHAnsi"/>
                <w:color w:val="000000"/>
                <w:sz w:val="18"/>
                <w:szCs w:val="18"/>
              </w:rPr>
              <w:t xml:space="preserve">N </w:t>
            </w:r>
            <w:r w:rsidRPr="00A01261">
              <w:rPr>
                <w:rFonts w:hAnsiTheme="minorHAnsi" w:cstheme="minorHAnsi"/>
                <w:color w:val="000000"/>
                <w:sz w:val="18"/>
                <w:szCs w:val="18"/>
              </w:rPr>
              <w:t>=</w:t>
            </w:r>
            <w:r>
              <w:rPr>
                <w:rFonts w:hAnsiTheme="minorHAnsi" w:cstheme="minorHAnsi"/>
                <w:color w:val="000000"/>
                <w:sz w:val="18"/>
                <w:szCs w:val="18"/>
              </w:rPr>
              <w:t xml:space="preserve"> </w:t>
            </w:r>
            <w:r w:rsidRPr="00A01261">
              <w:rPr>
                <w:rFonts w:hAnsiTheme="minorHAnsi" w:cstheme="minorHAnsi"/>
                <w:color w:val="000000"/>
                <w:sz w:val="18"/>
                <w:szCs w:val="18"/>
              </w:rPr>
              <w:t>5,517</w:t>
            </w:r>
          </w:p>
        </w:tc>
        <w:tc>
          <w:tcPr>
            <w:tcW w:w="444" w:type="pct"/>
            <w:vAlign w:val="center"/>
          </w:tcPr>
          <w:p w14:paraId="37AFDF7D" w14:textId="3F6DAE15" w:rsidR="00D80A55" w:rsidRPr="00A01261" w:rsidRDefault="00D80A55" w:rsidP="00D80A55">
            <w:pPr>
              <w:pStyle w:val="Ingetavstnd"/>
              <w:rPr>
                <w:rFonts w:hAnsiTheme="minorHAnsi" w:cstheme="minorHAnsi"/>
                <w:sz w:val="18"/>
                <w:szCs w:val="18"/>
              </w:rPr>
            </w:pPr>
            <w:r>
              <w:rPr>
                <w:rFonts w:hAnsiTheme="minorHAnsi" w:cstheme="minorHAnsi"/>
                <w:color w:val="000000"/>
                <w:sz w:val="18"/>
                <w:szCs w:val="18"/>
              </w:rPr>
              <w:t xml:space="preserve">Minimum 2 years KOOS. Mean for </w:t>
            </w:r>
            <w:r w:rsidRPr="00A01261">
              <w:rPr>
                <w:rFonts w:hAnsiTheme="minorHAnsi" w:cstheme="minorHAnsi"/>
                <w:color w:val="000000"/>
                <w:sz w:val="18"/>
                <w:szCs w:val="18"/>
              </w:rPr>
              <w:t>controls; 54.4 month</w:t>
            </w:r>
            <w:r>
              <w:rPr>
                <w:rFonts w:hAnsiTheme="minorHAnsi" w:cstheme="minorHAnsi"/>
                <w:color w:val="000000"/>
                <w:sz w:val="18"/>
                <w:szCs w:val="18"/>
              </w:rPr>
              <w:t>s</w:t>
            </w:r>
            <w:r w:rsidRPr="00A01261">
              <w:rPr>
                <w:rFonts w:hAnsiTheme="minorHAnsi" w:cstheme="minorHAnsi"/>
                <w:color w:val="000000"/>
                <w:sz w:val="18"/>
                <w:szCs w:val="18"/>
              </w:rPr>
              <w:t>, for revision cases; 40.0 month</w:t>
            </w:r>
            <w:r>
              <w:rPr>
                <w:rFonts w:hAnsiTheme="minorHAnsi" w:cstheme="minorHAnsi"/>
                <w:color w:val="000000"/>
                <w:sz w:val="18"/>
                <w:szCs w:val="18"/>
              </w:rPr>
              <w:t>s</w:t>
            </w:r>
            <w:r w:rsidRPr="00A01261">
              <w:rPr>
                <w:rFonts w:hAnsiTheme="minorHAnsi" w:cstheme="minorHAnsi"/>
                <w:color w:val="000000"/>
                <w:sz w:val="18"/>
                <w:szCs w:val="18"/>
              </w:rPr>
              <w:t xml:space="preserve"> </w:t>
            </w:r>
          </w:p>
        </w:tc>
        <w:tc>
          <w:tcPr>
            <w:tcW w:w="424" w:type="pct"/>
            <w:vAlign w:val="center"/>
          </w:tcPr>
          <w:p w14:paraId="711D8BCF" w14:textId="55A46B1E" w:rsidR="00D80A55" w:rsidRPr="00A01261" w:rsidRDefault="00D80A55" w:rsidP="00D80A55">
            <w:pPr>
              <w:pStyle w:val="Ingetavstnd"/>
              <w:rPr>
                <w:rFonts w:hAnsiTheme="minorHAnsi" w:cstheme="minorHAnsi"/>
                <w:sz w:val="18"/>
                <w:szCs w:val="18"/>
              </w:rPr>
            </w:pPr>
            <w:r w:rsidRPr="00A01261">
              <w:rPr>
                <w:rFonts w:hAnsiTheme="minorHAnsi" w:cstheme="minorHAnsi"/>
                <w:color w:val="000000"/>
                <w:sz w:val="18"/>
                <w:szCs w:val="18"/>
              </w:rPr>
              <w:t xml:space="preserve">Linear regression and Cox regression analyses </w:t>
            </w:r>
          </w:p>
        </w:tc>
        <w:tc>
          <w:tcPr>
            <w:tcW w:w="932" w:type="pct"/>
            <w:vAlign w:val="center"/>
          </w:tcPr>
          <w:p w14:paraId="15897665" w14:textId="1FAE3F9B" w:rsidR="00D80A55" w:rsidRPr="00A01261" w:rsidRDefault="00D80A55" w:rsidP="00D80A55">
            <w:pPr>
              <w:pStyle w:val="Ingetavstnd"/>
              <w:rPr>
                <w:rFonts w:hAnsiTheme="minorHAnsi" w:cstheme="minorHAnsi"/>
                <w:sz w:val="18"/>
                <w:szCs w:val="18"/>
              </w:rPr>
            </w:pPr>
            <w:r w:rsidRPr="00A01261">
              <w:rPr>
                <w:rFonts w:hAnsiTheme="minorHAnsi" w:cstheme="minorHAnsi"/>
                <w:color w:val="000000"/>
                <w:sz w:val="18"/>
                <w:szCs w:val="18"/>
              </w:rPr>
              <w:t>Inadequate knee funct</w:t>
            </w:r>
            <w:r>
              <w:rPr>
                <w:rFonts w:hAnsiTheme="minorHAnsi" w:cstheme="minorHAnsi"/>
                <w:color w:val="000000"/>
                <w:sz w:val="18"/>
                <w:szCs w:val="18"/>
              </w:rPr>
              <w:t>i</w:t>
            </w:r>
            <w:r w:rsidRPr="00A01261">
              <w:rPr>
                <w:rFonts w:hAnsiTheme="minorHAnsi" w:cstheme="minorHAnsi"/>
                <w:color w:val="000000"/>
                <w:sz w:val="18"/>
                <w:szCs w:val="18"/>
              </w:rPr>
              <w:t xml:space="preserve">on, as measured by </w:t>
            </w:r>
            <w:r>
              <w:rPr>
                <w:rFonts w:hAnsiTheme="minorHAnsi" w:cstheme="minorHAnsi"/>
                <w:color w:val="000000"/>
                <w:sz w:val="18"/>
                <w:szCs w:val="18"/>
              </w:rPr>
              <w:t xml:space="preserve">the two-year </w:t>
            </w:r>
            <w:r w:rsidRPr="00A01261">
              <w:rPr>
                <w:rFonts w:hAnsiTheme="minorHAnsi" w:cstheme="minorHAnsi"/>
                <w:color w:val="000000"/>
                <w:sz w:val="18"/>
                <w:szCs w:val="18"/>
              </w:rPr>
              <w:t xml:space="preserve">KOOS, is associated </w:t>
            </w:r>
            <w:r>
              <w:rPr>
                <w:rFonts w:hAnsiTheme="minorHAnsi" w:cstheme="minorHAnsi"/>
                <w:color w:val="000000"/>
                <w:sz w:val="18"/>
                <w:szCs w:val="18"/>
              </w:rPr>
              <w:t>with</w:t>
            </w:r>
            <w:r w:rsidRPr="00A01261">
              <w:rPr>
                <w:rFonts w:hAnsiTheme="minorHAnsi" w:cstheme="minorHAnsi"/>
                <w:color w:val="000000"/>
                <w:sz w:val="18"/>
                <w:szCs w:val="18"/>
              </w:rPr>
              <w:t xml:space="preserve"> future ACL-reconstructed graft failure. </w:t>
            </w:r>
          </w:p>
        </w:tc>
      </w:tr>
      <w:tr w:rsidR="00D80A55" w:rsidRPr="00A01261" w14:paraId="3C6BC343" w14:textId="77777777" w:rsidTr="00D80A55">
        <w:tc>
          <w:tcPr>
            <w:tcW w:w="448" w:type="pct"/>
            <w:vAlign w:val="center"/>
          </w:tcPr>
          <w:p w14:paraId="1E8F4CF3" w14:textId="7E11F4F5" w:rsidR="00D80A55" w:rsidRPr="00A01261" w:rsidRDefault="00D80A55" w:rsidP="00D80A55">
            <w:pPr>
              <w:pStyle w:val="Ingetavstnd"/>
              <w:rPr>
                <w:rFonts w:hAnsiTheme="minorHAnsi" w:cstheme="minorHAnsi"/>
                <w:sz w:val="18"/>
                <w:szCs w:val="18"/>
              </w:rPr>
            </w:pPr>
            <w:proofErr w:type="spellStart"/>
            <w:r>
              <w:rPr>
                <w:rFonts w:hAnsiTheme="minorHAnsi" w:cstheme="minorHAnsi"/>
                <w:sz w:val="18"/>
                <w:szCs w:val="18"/>
              </w:rPr>
              <w:t>Grindem</w:t>
            </w:r>
            <w:proofErr w:type="spellEnd"/>
            <w:r>
              <w:rPr>
                <w:rFonts w:hAnsiTheme="minorHAnsi" w:cstheme="minorHAnsi"/>
                <w:sz w:val="18"/>
                <w:szCs w:val="18"/>
              </w:rPr>
              <w:t xml:space="preserve"> et al (2015)</w:t>
            </w:r>
          </w:p>
        </w:tc>
        <w:tc>
          <w:tcPr>
            <w:tcW w:w="290" w:type="pct"/>
            <w:vAlign w:val="center"/>
          </w:tcPr>
          <w:p w14:paraId="70CA1660" w14:textId="0731F419" w:rsidR="00D80A55" w:rsidRPr="00A01261" w:rsidRDefault="00D80A55" w:rsidP="00D80A55">
            <w:pPr>
              <w:pStyle w:val="Ingetavstnd"/>
              <w:jc w:val="center"/>
              <w:rPr>
                <w:rFonts w:hAnsiTheme="minorHAnsi" w:cstheme="minorHAnsi"/>
                <w:color w:val="000000"/>
                <w:sz w:val="18"/>
                <w:szCs w:val="18"/>
              </w:rPr>
            </w:pPr>
            <w:r>
              <w:rPr>
                <w:rFonts w:hAnsiTheme="minorHAnsi" w:cstheme="minorHAnsi"/>
                <w:color w:val="000000"/>
                <w:sz w:val="18"/>
                <w:szCs w:val="18"/>
              </w:rPr>
              <w:t>Nor</w:t>
            </w:r>
          </w:p>
        </w:tc>
        <w:tc>
          <w:tcPr>
            <w:tcW w:w="260" w:type="pct"/>
            <w:vAlign w:val="center"/>
          </w:tcPr>
          <w:p w14:paraId="7CAF084B" w14:textId="53EA0B7E" w:rsidR="00D80A55" w:rsidRDefault="00D80A55" w:rsidP="00D80A55">
            <w:pPr>
              <w:pStyle w:val="Ingetavstnd"/>
              <w:jc w:val="center"/>
              <w:rPr>
                <w:rFonts w:ascii="Calibri" w:hAnsi="Calibri"/>
                <w:color w:val="000000"/>
                <w:sz w:val="18"/>
                <w:szCs w:val="18"/>
              </w:rPr>
            </w:pPr>
            <w:r>
              <w:rPr>
                <w:rFonts w:ascii="Calibri" w:hAnsi="Calibri"/>
                <w:color w:val="000000"/>
                <w:sz w:val="18"/>
                <w:szCs w:val="18"/>
              </w:rPr>
              <w:t>17</w:t>
            </w:r>
          </w:p>
        </w:tc>
        <w:tc>
          <w:tcPr>
            <w:tcW w:w="710" w:type="pct"/>
            <w:vAlign w:val="center"/>
          </w:tcPr>
          <w:p w14:paraId="7A87DA1E" w14:textId="79CE6A61" w:rsidR="00D80A55" w:rsidRPr="00A01261" w:rsidRDefault="00D80A55" w:rsidP="00D80A55">
            <w:pPr>
              <w:pStyle w:val="Ingetavstnd"/>
              <w:rPr>
                <w:rFonts w:hAnsiTheme="minorHAnsi" w:cstheme="minorHAnsi"/>
                <w:sz w:val="18"/>
                <w:szCs w:val="18"/>
              </w:rPr>
            </w:pPr>
            <w:r>
              <w:rPr>
                <w:rFonts w:ascii="Calibri" w:hAnsi="Calibri"/>
                <w:color w:val="000000"/>
                <w:sz w:val="18"/>
                <w:szCs w:val="18"/>
              </w:rPr>
              <w:t xml:space="preserve">How does a combined preoperative and postop rehabilitation </w:t>
            </w:r>
            <w:proofErr w:type="spellStart"/>
            <w:r>
              <w:rPr>
                <w:rFonts w:ascii="Calibri" w:hAnsi="Calibri"/>
                <w:color w:val="000000"/>
                <w:sz w:val="18"/>
                <w:szCs w:val="18"/>
              </w:rPr>
              <w:t>programme</w:t>
            </w:r>
            <w:proofErr w:type="spellEnd"/>
            <w:r>
              <w:rPr>
                <w:rFonts w:ascii="Calibri" w:hAnsi="Calibri"/>
                <w:color w:val="000000"/>
                <w:sz w:val="18"/>
                <w:szCs w:val="18"/>
              </w:rPr>
              <w:t xml:space="preserve"> influence the outcome of ACLR two years after surgery? A comparison between patients in the Delaware-Oslo ACL cohort and the NKLR.</w:t>
            </w:r>
          </w:p>
        </w:tc>
        <w:tc>
          <w:tcPr>
            <w:tcW w:w="477" w:type="pct"/>
            <w:vAlign w:val="center"/>
          </w:tcPr>
          <w:p w14:paraId="48C7BAEB" w14:textId="436ED4F1" w:rsidR="00D80A55" w:rsidRPr="00A01261" w:rsidRDefault="00D80A55" w:rsidP="00D80A55">
            <w:pPr>
              <w:pStyle w:val="Ingetavstnd"/>
              <w:rPr>
                <w:rFonts w:hAnsiTheme="minorHAnsi" w:cstheme="minorHAnsi"/>
                <w:sz w:val="18"/>
                <w:szCs w:val="18"/>
              </w:rPr>
            </w:pPr>
            <w:r>
              <w:rPr>
                <w:rFonts w:ascii="Calibri" w:hAnsi="Calibri"/>
                <w:color w:val="000000"/>
                <w:sz w:val="18"/>
                <w:szCs w:val="18"/>
              </w:rPr>
              <w:t xml:space="preserve">To compare preoperative and two-year PROMs in patients undergoing pre- and postoperative rehabilitation at a sports medicine clinic compared with usual care </w:t>
            </w:r>
          </w:p>
        </w:tc>
        <w:tc>
          <w:tcPr>
            <w:tcW w:w="574" w:type="pct"/>
            <w:vAlign w:val="center"/>
          </w:tcPr>
          <w:p w14:paraId="315A9354" w14:textId="3733DFBC" w:rsidR="00D80A55" w:rsidRPr="00A01261" w:rsidRDefault="00D80A55" w:rsidP="00D80A55">
            <w:pPr>
              <w:pStyle w:val="Ingetavstnd"/>
              <w:rPr>
                <w:rFonts w:hAnsiTheme="minorHAnsi" w:cstheme="minorHAnsi"/>
                <w:sz w:val="18"/>
                <w:szCs w:val="18"/>
              </w:rPr>
            </w:pPr>
            <w:r>
              <w:rPr>
                <w:rFonts w:hAnsiTheme="minorHAnsi" w:cstheme="minorHAnsi"/>
                <w:color w:val="000000"/>
                <w:sz w:val="18"/>
                <w:szCs w:val="18"/>
              </w:rPr>
              <w:t>KOOS</w:t>
            </w:r>
          </w:p>
        </w:tc>
        <w:tc>
          <w:tcPr>
            <w:tcW w:w="441" w:type="pct"/>
            <w:vAlign w:val="center"/>
          </w:tcPr>
          <w:p w14:paraId="5C1AF07C" w14:textId="77777777" w:rsidR="00D80A55" w:rsidRDefault="00D80A55" w:rsidP="00D80A55">
            <w:pPr>
              <w:pStyle w:val="Ingetavstnd"/>
              <w:rPr>
                <w:rFonts w:hAnsiTheme="minorHAnsi" w:cstheme="minorHAnsi"/>
                <w:color w:val="000000"/>
                <w:sz w:val="18"/>
                <w:szCs w:val="18"/>
              </w:rPr>
            </w:pPr>
            <w:r w:rsidRPr="002C2C42">
              <w:rPr>
                <w:rFonts w:hAnsiTheme="minorHAnsi" w:cstheme="minorHAnsi"/>
                <w:color w:val="000000"/>
                <w:sz w:val="18"/>
                <w:szCs w:val="18"/>
              </w:rPr>
              <w:t>NAR</w:t>
            </w:r>
            <w:r>
              <w:rPr>
                <w:rFonts w:hAnsiTheme="minorHAnsi" w:cstheme="minorHAnsi"/>
                <w:color w:val="000000"/>
                <w:sz w:val="18"/>
                <w:szCs w:val="18"/>
              </w:rPr>
              <w:t xml:space="preserve"> cohort = 84</w:t>
            </w:r>
          </w:p>
          <w:p w14:paraId="10889FF0" w14:textId="77777777" w:rsidR="00D80A55" w:rsidRPr="002C2C42" w:rsidRDefault="00D80A55" w:rsidP="00D80A55">
            <w:pPr>
              <w:pStyle w:val="Ingetavstnd"/>
              <w:rPr>
                <w:rFonts w:hAnsiTheme="minorHAnsi" w:cstheme="minorHAnsi"/>
                <w:color w:val="000000"/>
                <w:sz w:val="18"/>
                <w:szCs w:val="18"/>
              </w:rPr>
            </w:pPr>
            <w:r w:rsidRPr="002C2C42">
              <w:rPr>
                <w:rFonts w:hAnsiTheme="minorHAnsi" w:cstheme="minorHAnsi"/>
                <w:color w:val="000000"/>
                <w:sz w:val="18"/>
                <w:szCs w:val="18"/>
              </w:rPr>
              <w:t>NKLR</w:t>
            </w:r>
            <w:r>
              <w:rPr>
                <w:rFonts w:hAnsiTheme="minorHAnsi" w:cstheme="minorHAnsi"/>
                <w:color w:val="000000"/>
                <w:sz w:val="18"/>
                <w:szCs w:val="18"/>
              </w:rPr>
              <w:t xml:space="preserve"> cohort = </w:t>
            </w:r>
            <w:r w:rsidRPr="002C2C42">
              <w:rPr>
                <w:rFonts w:hAnsiTheme="minorHAnsi" w:cstheme="minorHAnsi"/>
                <w:color w:val="000000"/>
                <w:sz w:val="18"/>
                <w:szCs w:val="18"/>
              </w:rPr>
              <w:t>2</w:t>
            </w:r>
            <w:r>
              <w:rPr>
                <w:rFonts w:hAnsiTheme="minorHAnsi" w:cstheme="minorHAnsi"/>
                <w:color w:val="000000"/>
                <w:sz w:val="18"/>
                <w:szCs w:val="18"/>
              </w:rPr>
              <w:t>,690</w:t>
            </w:r>
            <w:r w:rsidRPr="002C2C42">
              <w:rPr>
                <w:rFonts w:hAnsiTheme="minorHAnsi" w:cstheme="minorHAnsi"/>
                <w:color w:val="000000"/>
                <w:sz w:val="18"/>
                <w:szCs w:val="18"/>
              </w:rPr>
              <w:t xml:space="preserve"> </w:t>
            </w:r>
          </w:p>
          <w:p w14:paraId="7AD2BBB4" w14:textId="12AAD525" w:rsidR="00D80A55" w:rsidRPr="00A01261" w:rsidRDefault="00D80A55" w:rsidP="00D80A55">
            <w:pPr>
              <w:pStyle w:val="Ingetavstnd"/>
              <w:rPr>
                <w:rFonts w:hAnsiTheme="minorHAnsi" w:cstheme="minorHAnsi"/>
                <w:sz w:val="18"/>
                <w:szCs w:val="18"/>
              </w:rPr>
            </w:pPr>
          </w:p>
        </w:tc>
        <w:tc>
          <w:tcPr>
            <w:tcW w:w="444" w:type="pct"/>
            <w:vAlign w:val="center"/>
          </w:tcPr>
          <w:p w14:paraId="0177DF75" w14:textId="2B658664" w:rsidR="00D80A55" w:rsidRPr="00A01261" w:rsidRDefault="00D80A55" w:rsidP="00D80A55">
            <w:pPr>
              <w:pStyle w:val="Ingetavstnd"/>
              <w:rPr>
                <w:rFonts w:hAnsiTheme="minorHAnsi" w:cstheme="minorHAnsi"/>
                <w:sz w:val="18"/>
                <w:szCs w:val="18"/>
              </w:rPr>
            </w:pPr>
            <w:r>
              <w:rPr>
                <w:rFonts w:hAnsiTheme="minorHAnsi" w:cstheme="minorHAnsi"/>
                <w:color w:val="000000"/>
                <w:sz w:val="18"/>
                <w:szCs w:val="18"/>
              </w:rPr>
              <w:t>2 years</w:t>
            </w:r>
          </w:p>
        </w:tc>
        <w:tc>
          <w:tcPr>
            <w:tcW w:w="424" w:type="pct"/>
            <w:vAlign w:val="center"/>
          </w:tcPr>
          <w:p w14:paraId="309DAE93" w14:textId="77777777" w:rsidR="00D80A55" w:rsidRPr="002C2C42" w:rsidRDefault="00D80A55" w:rsidP="00D80A55">
            <w:pPr>
              <w:pStyle w:val="Ingetavstnd"/>
              <w:rPr>
                <w:rFonts w:hAnsiTheme="minorHAnsi" w:cstheme="minorHAnsi"/>
                <w:color w:val="000000"/>
                <w:sz w:val="18"/>
                <w:szCs w:val="18"/>
              </w:rPr>
            </w:pPr>
            <w:r>
              <w:rPr>
                <w:rFonts w:hAnsiTheme="minorHAnsi" w:cstheme="minorHAnsi"/>
                <w:color w:val="000000"/>
                <w:sz w:val="18"/>
                <w:szCs w:val="18"/>
              </w:rPr>
              <w:t>Chi-square test, Mann-Whitney U test, t-</w:t>
            </w:r>
            <w:r w:rsidRPr="002C2C42">
              <w:rPr>
                <w:rFonts w:hAnsiTheme="minorHAnsi" w:cstheme="minorHAnsi"/>
                <w:color w:val="000000"/>
                <w:sz w:val="18"/>
                <w:szCs w:val="18"/>
              </w:rPr>
              <w:t xml:space="preserve">tests. ANCOVA to compare KOOS preop and 2y postop. </w:t>
            </w:r>
          </w:p>
          <w:p w14:paraId="6EC430BE" w14:textId="08312AD1" w:rsidR="00D80A55" w:rsidRPr="00A01261" w:rsidRDefault="00D80A55" w:rsidP="00D80A55">
            <w:pPr>
              <w:pStyle w:val="Ingetavstnd"/>
              <w:rPr>
                <w:rFonts w:hAnsiTheme="minorHAnsi" w:cstheme="minorHAnsi"/>
                <w:sz w:val="18"/>
                <w:szCs w:val="18"/>
              </w:rPr>
            </w:pPr>
          </w:p>
        </w:tc>
        <w:tc>
          <w:tcPr>
            <w:tcW w:w="932" w:type="pct"/>
            <w:vAlign w:val="center"/>
          </w:tcPr>
          <w:p w14:paraId="2C3F10E0" w14:textId="77777777" w:rsidR="00D80A55" w:rsidRPr="002C2C42" w:rsidRDefault="00D80A55" w:rsidP="00D80A55">
            <w:pPr>
              <w:pStyle w:val="Ingetavstnd"/>
              <w:rPr>
                <w:rFonts w:hAnsiTheme="minorHAnsi" w:cstheme="minorHAnsi"/>
                <w:color w:val="000000"/>
                <w:sz w:val="18"/>
                <w:szCs w:val="18"/>
              </w:rPr>
            </w:pPr>
            <w:r w:rsidRPr="002C2C42">
              <w:rPr>
                <w:rFonts w:hAnsiTheme="minorHAnsi" w:cstheme="minorHAnsi"/>
                <w:color w:val="000000"/>
                <w:sz w:val="18"/>
                <w:szCs w:val="18"/>
              </w:rPr>
              <w:t>Patients who followed a progressive pre- and postoperative rehab</w:t>
            </w:r>
            <w:r>
              <w:rPr>
                <w:rFonts w:hAnsiTheme="minorHAnsi" w:cstheme="minorHAnsi"/>
                <w:color w:val="000000"/>
                <w:sz w:val="18"/>
                <w:szCs w:val="18"/>
              </w:rPr>
              <w:t>i</w:t>
            </w:r>
            <w:r w:rsidRPr="002C2C42">
              <w:rPr>
                <w:rFonts w:hAnsiTheme="minorHAnsi" w:cstheme="minorHAnsi"/>
                <w:color w:val="000000"/>
                <w:sz w:val="18"/>
                <w:szCs w:val="18"/>
              </w:rPr>
              <w:t xml:space="preserve">litation </w:t>
            </w:r>
            <w:proofErr w:type="spellStart"/>
            <w:r w:rsidRPr="002C2C42">
              <w:rPr>
                <w:rFonts w:hAnsiTheme="minorHAnsi" w:cstheme="minorHAnsi"/>
                <w:color w:val="000000"/>
                <w:sz w:val="18"/>
                <w:szCs w:val="18"/>
              </w:rPr>
              <w:t>programme</w:t>
            </w:r>
            <w:proofErr w:type="spellEnd"/>
            <w:r w:rsidRPr="002C2C42">
              <w:rPr>
                <w:rFonts w:hAnsiTheme="minorHAnsi" w:cstheme="minorHAnsi"/>
                <w:color w:val="000000"/>
                <w:sz w:val="18"/>
                <w:szCs w:val="18"/>
              </w:rPr>
              <w:t xml:space="preserve"> showed superior KOOS </w:t>
            </w:r>
            <w:r>
              <w:rPr>
                <w:rFonts w:hAnsiTheme="minorHAnsi" w:cstheme="minorHAnsi"/>
                <w:color w:val="000000"/>
                <w:sz w:val="18"/>
                <w:szCs w:val="18"/>
              </w:rPr>
              <w:t>two-</w:t>
            </w:r>
            <w:r w:rsidRPr="002C2C42">
              <w:rPr>
                <w:rFonts w:hAnsiTheme="minorHAnsi" w:cstheme="minorHAnsi"/>
                <w:color w:val="000000"/>
                <w:sz w:val="18"/>
                <w:szCs w:val="18"/>
              </w:rPr>
              <w:t xml:space="preserve">year results compared </w:t>
            </w:r>
            <w:r>
              <w:rPr>
                <w:rFonts w:hAnsiTheme="minorHAnsi" w:cstheme="minorHAnsi"/>
                <w:color w:val="000000"/>
                <w:sz w:val="18"/>
                <w:szCs w:val="18"/>
              </w:rPr>
              <w:t>with</w:t>
            </w:r>
            <w:r w:rsidRPr="002C2C42">
              <w:rPr>
                <w:rFonts w:hAnsiTheme="minorHAnsi" w:cstheme="minorHAnsi"/>
                <w:color w:val="000000"/>
                <w:sz w:val="18"/>
                <w:szCs w:val="18"/>
              </w:rPr>
              <w:t xml:space="preserve"> patients who underwent usual care. </w:t>
            </w:r>
          </w:p>
          <w:p w14:paraId="778ECD6D" w14:textId="6BBB36C6" w:rsidR="00D80A55" w:rsidRPr="00A01261" w:rsidRDefault="00D80A55" w:rsidP="00D80A55">
            <w:pPr>
              <w:pStyle w:val="Ingetavstnd"/>
              <w:rPr>
                <w:rFonts w:hAnsiTheme="minorHAnsi" w:cstheme="minorHAnsi"/>
                <w:sz w:val="18"/>
                <w:szCs w:val="18"/>
              </w:rPr>
            </w:pPr>
          </w:p>
        </w:tc>
      </w:tr>
      <w:tr w:rsidR="00D80A55" w:rsidRPr="00A01261" w14:paraId="078AF260" w14:textId="77777777" w:rsidTr="00D80A55">
        <w:tc>
          <w:tcPr>
            <w:tcW w:w="448" w:type="pct"/>
            <w:vAlign w:val="center"/>
          </w:tcPr>
          <w:p w14:paraId="40F00C20" w14:textId="001D3319" w:rsidR="00D80A55" w:rsidRPr="00A01261" w:rsidRDefault="00D80A55" w:rsidP="00D80A55">
            <w:pPr>
              <w:pStyle w:val="Ingetavstnd"/>
              <w:rPr>
                <w:rFonts w:hAnsiTheme="minorHAnsi" w:cstheme="minorHAnsi"/>
                <w:sz w:val="18"/>
                <w:szCs w:val="18"/>
              </w:rPr>
            </w:pPr>
            <w:r>
              <w:rPr>
                <w:rFonts w:hAnsiTheme="minorHAnsi" w:cstheme="minorHAnsi"/>
                <w:sz w:val="18"/>
                <w:szCs w:val="18"/>
              </w:rPr>
              <w:lastRenderedPageBreak/>
              <w:t>Hamrin Senorski et al (2018)</w:t>
            </w:r>
          </w:p>
        </w:tc>
        <w:tc>
          <w:tcPr>
            <w:tcW w:w="290" w:type="pct"/>
            <w:vAlign w:val="center"/>
          </w:tcPr>
          <w:p w14:paraId="2FD1CBB0" w14:textId="4F7638A0" w:rsidR="00D80A55" w:rsidRPr="00A01261" w:rsidRDefault="00D80A55" w:rsidP="00D80A55">
            <w:pPr>
              <w:pStyle w:val="Ingetavstnd"/>
              <w:jc w:val="center"/>
              <w:rPr>
                <w:rFonts w:hAnsiTheme="minorHAnsi" w:cstheme="minorHAnsi"/>
                <w:color w:val="000000"/>
                <w:sz w:val="18"/>
                <w:szCs w:val="18"/>
              </w:rPr>
            </w:pPr>
            <w:proofErr w:type="spellStart"/>
            <w:r>
              <w:rPr>
                <w:rFonts w:hAnsiTheme="minorHAnsi" w:cstheme="minorHAnsi"/>
                <w:color w:val="000000"/>
                <w:sz w:val="18"/>
                <w:szCs w:val="18"/>
              </w:rPr>
              <w:t>Swe</w:t>
            </w:r>
            <w:proofErr w:type="spellEnd"/>
          </w:p>
        </w:tc>
        <w:tc>
          <w:tcPr>
            <w:tcW w:w="260" w:type="pct"/>
            <w:vAlign w:val="center"/>
          </w:tcPr>
          <w:p w14:paraId="22ACEA49" w14:textId="42013D8D" w:rsidR="00D80A55" w:rsidRPr="0056570B" w:rsidRDefault="00D80A55" w:rsidP="00D80A55">
            <w:pPr>
              <w:pStyle w:val="Ingetavstnd"/>
              <w:jc w:val="center"/>
              <w:rPr>
                <w:rFonts w:ascii="Segoe UI" w:hAnsi="Segoe UI" w:cs="Segoe UI"/>
                <w:sz w:val="18"/>
                <w:szCs w:val="18"/>
                <w:lang w:val="en"/>
              </w:rPr>
            </w:pPr>
            <w:r>
              <w:rPr>
                <w:rFonts w:ascii="Segoe UI" w:hAnsi="Segoe UI" w:cs="Segoe UI"/>
                <w:sz w:val="18"/>
                <w:szCs w:val="18"/>
                <w:lang w:val="en"/>
              </w:rPr>
              <w:t>17</w:t>
            </w:r>
          </w:p>
        </w:tc>
        <w:tc>
          <w:tcPr>
            <w:tcW w:w="710" w:type="pct"/>
            <w:vAlign w:val="center"/>
          </w:tcPr>
          <w:p w14:paraId="540E0F2D" w14:textId="61DE27E2" w:rsidR="00D80A55" w:rsidRPr="00A01261" w:rsidRDefault="00D80A55" w:rsidP="00D80A55">
            <w:pPr>
              <w:pStyle w:val="Ingetavstnd"/>
              <w:rPr>
                <w:rFonts w:hAnsiTheme="minorHAnsi" w:cstheme="minorHAnsi"/>
                <w:sz w:val="18"/>
                <w:szCs w:val="18"/>
              </w:rPr>
            </w:pPr>
            <w:r w:rsidRPr="0056570B">
              <w:rPr>
                <w:rFonts w:ascii="Segoe UI" w:hAnsi="Segoe UI" w:cs="Segoe UI"/>
                <w:sz w:val="18"/>
                <w:szCs w:val="18"/>
                <w:lang w:val="en"/>
              </w:rPr>
              <w:t xml:space="preserve">Increased odds of patient-reported success at 2 years after anterior cruciate ligament reconstruction in patients without cartilage lesions: a cohort study from the </w:t>
            </w:r>
            <w:r>
              <w:rPr>
                <w:rFonts w:ascii="Segoe UI" w:hAnsi="Segoe UI" w:cs="Segoe UI"/>
                <w:sz w:val="18"/>
                <w:szCs w:val="18"/>
                <w:lang w:val="en"/>
              </w:rPr>
              <w:t>SNKLR</w:t>
            </w:r>
          </w:p>
        </w:tc>
        <w:tc>
          <w:tcPr>
            <w:tcW w:w="477" w:type="pct"/>
            <w:vAlign w:val="center"/>
          </w:tcPr>
          <w:p w14:paraId="3A690C3D" w14:textId="176769DA" w:rsidR="00D80A55" w:rsidRPr="00A01261" w:rsidRDefault="00D80A55" w:rsidP="00D80A55">
            <w:pPr>
              <w:pStyle w:val="Ingetavstnd"/>
              <w:rPr>
                <w:rFonts w:hAnsiTheme="minorHAnsi" w:cstheme="minorHAnsi"/>
                <w:sz w:val="18"/>
                <w:szCs w:val="18"/>
              </w:rPr>
            </w:pPr>
            <w:r>
              <w:rPr>
                <w:rFonts w:hAnsiTheme="minorHAnsi" w:cstheme="minorHAnsi"/>
                <w:color w:val="000000"/>
                <w:sz w:val="18"/>
                <w:szCs w:val="18"/>
                <w:lang w:val="en-GB"/>
              </w:rPr>
              <w:t>T</w:t>
            </w:r>
            <w:r w:rsidRPr="0056570B">
              <w:rPr>
                <w:rFonts w:hAnsiTheme="minorHAnsi" w:cstheme="minorHAnsi"/>
                <w:color w:val="000000"/>
                <w:sz w:val="18"/>
                <w:szCs w:val="18"/>
                <w:lang w:val="en-GB"/>
              </w:rPr>
              <w:t xml:space="preserve">o investigate whether a detailed knowledge of surgical procedures was able to predict </w:t>
            </w:r>
            <w:r>
              <w:rPr>
                <w:rFonts w:hAnsiTheme="minorHAnsi" w:cstheme="minorHAnsi"/>
                <w:color w:val="000000"/>
                <w:sz w:val="18"/>
                <w:szCs w:val="18"/>
                <w:lang w:val="en-GB"/>
              </w:rPr>
              <w:t>patient-reported success and failure in KOOS two</w:t>
            </w:r>
            <w:r w:rsidRPr="0056570B">
              <w:rPr>
                <w:rFonts w:hAnsiTheme="minorHAnsi" w:cstheme="minorHAnsi"/>
                <w:color w:val="000000"/>
                <w:sz w:val="18"/>
                <w:szCs w:val="18"/>
                <w:lang w:val="en-GB"/>
              </w:rPr>
              <w:t> years after ACL</w:t>
            </w:r>
            <w:r>
              <w:rPr>
                <w:rFonts w:hAnsiTheme="minorHAnsi" w:cstheme="minorHAnsi"/>
                <w:color w:val="000000"/>
                <w:sz w:val="18"/>
                <w:szCs w:val="18"/>
                <w:lang w:val="en-GB"/>
              </w:rPr>
              <w:t xml:space="preserve"> surgery in the SNKLR</w:t>
            </w:r>
          </w:p>
        </w:tc>
        <w:tc>
          <w:tcPr>
            <w:tcW w:w="574" w:type="pct"/>
            <w:vAlign w:val="center"/>
          </w:tcPr>
          <w:p w14:paraId="6B07404C" w14:textId="75547E93" w:rsidR="00D80A55" w:rsidRPr="00A01261" w:rsidRDefault="00D80A55" w:rsidP="00D80A55">
            <w:pPr>
              <w:pStyle w:val="Ingetavstnd"/>
              <w:rPr>
                <w:rFonts w:hAnsiTheme="minorHAnsi" w:cstheme="minorHAnsi"/>
                <w:sz w:val="18"/>
                <w:szCs w:val="18"/>
              </w:rPr>
            </w:pPr>
            <w:r>
              <w:rPr>
                <w:rFonts w:hAnsiTheme="minorHAnsi" w:cstheme="minorHAnsi"/>
                <w:color w:val="000000"/>
                <w:sz w:val="18"/>
                <w:szCs w:val="18"/>
              </w:rPr>
              <w:t>KOOS</w:t>
            </w:r>
          </w:p>
        </w:tc>
        <w:tc>
          <w:tcPr>
            <w:tcW w:w="441" w:type="pct"/>
            <w:vAlign w:val="center"/>
          </w:tcPr>
          <w:p w14:paraId="103A9009" w14:textId="4588B7F3" w:rsidR="00D80A55" w:rsidRPr="00A01261" w:rsidRDefault="00D80A55" w:rsidP="00D80A55">
            <w:pPr>
              <w:pStyle w:val="Ingetavstnd"/>
              <w:rPr>
                <w:rFonts w:hAnsiTheme="minorHAnsi" w:cstheme="minorHAnsi"/>
                <w:sz w:val="18"/>
                <w:szCs w:val="18"/>
                <w:lang w:val="sv-SE"/>
              </w:rPr>
            </w:pPr>
            <w:r>
              <w:rPr>
                <w:rFonts w:hAnsiTheme="minorHAnsi" w:cstheme="minorHAnsi"/>
                <w:color w:val="000000"/>
                <w:sz w:val="18"/>
                <w:szCs w:val="18"/>
              </w:rPr>
              <w:t>N = 6,889</w:t>
            </w:r>
          </w:p>
        </w:tc>
        <w:tc>
          <w:tcPr>
            <w:tcW w:w="444" w:type="pct"/>
            <w:vAlign w:val="center"/>
          </w:tcPr>
          <w:p w14:paraId="31B45674" w14:textId="6B56E420" w:rsidR="00D80A55" w:rsidRPr="00A01261" w:rsidRDefault="00D80A55" w:rsidP="00D80A55">
            <w:pPr>
              <w:pStyle w:val="Ingetavstnd"/>
              <w:rPr>
                <w:rFonts w:hAnsiTheme="minorHAnsi" w:cstheme="minorHAnsi"/>
                <w:sz w:val="18"/>
                <w:szCs w:val="18"/>
              </w:rPr>
            </w:pPr>
            <w:r>
              <w:rPr>
                <w:rFonts w:hAnsiTheme="minorHAnsi" w:cstheme="minorHAnsi"/>
                <w:color w:val="000000"/>
                <w:sz w:val="18"/>
                <w:szCs w:val="18"/>
              </w:rPr>
              <w:t>2 years</w:t>
            </w:r>
          </w:p>
        </w:tc>
        <w:tc>
          <w:tcPr>
            <w:tcW w:w="424" w:type="pct"/>
            <w:vAlign w:val="center"/>
          </w:tcPr>
          <w:p w14:paraId="6E6567EB" w14:textId="5E369FE9" w:rsidR="00D80A55" w:rsidRPr="00A01261" w:rsidRDefault="00D80A55" w:rsidP="00D80A55">
            <w:pPr>
              <w:pStyle w:val="Ingetavstnd"/>
              <w:rPr>
                <w:rFonts w:hAnsiTheme="minorHAnsi" w:cstheme="minorHAnsi"/>
                <w:sz w:val="18"/>
                <w:szCs w:val="18"/>
              </w:rPr>
            </w:pPr>
            <w:r>
              <w:rPr>
                <w:rFonts w:hAnsiTheme="minorHAnsi" w:cstheme="minorHAnsi"/>
                <w:color w:val="000000"/>
                <w:sz w:val="18"/>
                <w:szCs w:val="18"/>
              </w:rPr>
              <w:t>Logistic regression</w:t>
            </w:r>
          </w:p>
        </w:tc>
        <w:tc>
          <w:tcPr>
            <w:tcW w:w="932" w:type="pct"/>
            <w:vAlign w:val="center"/>
          </w:tcPr>
          <w:p w14:paraId="4350A306" w14:textId="70A1A0CF" w:rsidR="00D80A55" w:rsidRPr="00A01261" w:rsidRDefault="00D80A55" w:rsidP="00D80A55">
            <w:pPr>
              <w:pStyle w:val="Ingetavstnd"/>
              <w:rPr>
                <w:rFonts w:hAnsiTheme="minorHAnsi" w:cstheme="minorHAnsi"/>
                <w:sz w:val="18"/>
                <w:szCs w:val="18"/>
              </w:rPr>
            </w:pPr>
            <w:r w:rsidRPr="0056570B">
              <w:rPr>
                <w:rFonts w:hAnsiTheme="minorHAnsi" w:cstheme="minorHAnsi"/>
                <w:color w:val="000000"/>
                <w:sz w:val="18"/>
                <w:szCs w:val="18"/>
                <w:lang w:val="en-GB"/>
              </w:rPr>
              <w:t>Surgical techniques used in primary single-bundle ACL reconstru</w:t>
            </w:r>
            <w:r>
              <w:rPr>
                <w:rFonts w:hAnsiTheme="minorHAnsi" w:cstheme="minorHAnsi"/>
                <w:color w:val="000000"/>
                <w:sz w:val="18"/>
                <w:szCs w:val="18"/>
                <w:lang w:val="en-GB"/>
              </w:rPr>
              <w:t>ction did not predict the KOOS two</w:t>
            </w:r>
            <w:r w:rsidRPr="0056570B">
              <w:rPr>
                <w:rFonts w:hAnsiTheme="minorHAnsi" w:cstheme="minorHAnsi"/>
                <w:color w:val="000000"/>
                <w:sz w:val="18"/>
                <w:szCs w:val="18"/>
                <w:lang w:val="en-GB"/>
              </w:rPr>
              <w:t> years after the reconstruction. However, the absence of concomitant injuries at index surgery predicted patient-reported success in the KOOS.</w:t>
            </w:r>
          </w:p>
        </w:tc>
      </w:tr>
      <w:tr w:rsidR="00D80A55" w:rsidRPr="00A01261" w14:paraId="7ED15EDE" w14:textId="77777777" w:rsidTr="00D80A55">
        <w:tc>
          <w:tcPr>
            <w:tcW w:w="448" w:type="pct"/>
            <w:vAlign w:val="center"/>
          </w:tcPr>
          <w:p w14:paraId="641CDCC5" w14:textId="41B9DD5F" w:rsidR="00D80A55" w:rsidRPr="00A01261" w:rsidRDefault="00D80A55" w:rsidP="00D80A55">
            <w:pPr>
              <w:pStyle w:val="Ingetavstnd"/>
              <w:rPr>
                <w:rFonts w:hAnsiTheme="minorHAnsi" w:cstheme="minorHAnsi"/>
                <w:sz w:val="18"/>
                <w:szCs w:val="18"/>
              </w:rPr>
            </w:pPr>
            <w:r>
              <w:rPr>
                <w:rFonts w:hAnsiTheme="minorHAnsi" w:cstheme="minorHAnsi"/>
                <w:sz w:val="18"/>
                <w:szCs w:val="18"/>
              </w:rPr>
              <w:t>Hamrin Senorski et al (2017)</w:t>
            </w:r>
          </w:p>
        </w:tc>
        <w:tc>
          <w:tcPr>
            <w:tcW w:w="290" w:type="pct"/>
            <w:vAlign w:val="center"/>
          </w:tcPr>
          <w:p w14:paraId="2A13CE88" w14:textId="27866838" w:rsidR="00D80A55" w:rsidRPr="00A01261" w:rsidRDefault="00D80A55" w:rsidP="00D80A55">
            <w:pPr>
              <w:pStyle w:val="Ingetavstnd"/>
              <w:jc w:val="center"/>
              <w:rPr>
                <w:rFonts w:hAnsiTheme="minorHAnsi" w:cstheme="minorHAnsi"/>
                <w:color w:val="000000"/>
                <w:sz w:val="18"/>
                <w:szCs w:val="18"/>
              </w:rPr>
            </w:pPr>
            <w:proofErr w:type="spellStart"/>
            <w:r>
              <w:rPr>
                <w:rFonts w:hAnsiTheme="minorHAnsi" w:cstheme="minorHAnsi"/>
                <w:color w:val="000000"/>
                <w:sz w:val="18"/>
                <w:szCs w:val="18"/>
              </w:rPr>
              <w:t>Swe</w:t>
            </w:r>
            <w:proofErr w:type="spellEnd"/>
          </w:p>
        </w:tc>
        <w:tc>
          <w:tcPr>
            <w:tcW w:w="260" w:type="pct"/>
            <w:vAlign w:val="center"/>
          </w:tcPr>
          <w:p w14:paraId="70E23261" w14:textId="40B9D659" w:rsidR="00D80A55" w:rsidRDefault="00D80A55" w:rsidP="00D80A55">
            <w:pPr>
              <w:pStyle w:val="Ingetavstnd"/>
              <w:jc w:val="center"/>
              <w:rPr>
                <w:rFonts w:ascii="Segoe UI" w:hAnsi="Segoe UI" w:cs="Segoe UI"/>
                <w:sz w:val="18"/>
                <w:szCs w:val="18"/>
              </w:rPr>
            </w:pPr>
            <w:r>
              <w:rPr>
                <w:rFonts w:ascii="Segoe UI" w:hAnsi="Segoe UI" w:cs="Segoe UI"/>
                <w:sz w:val="18"/>
                <w:szCs w:val="18"/>
              </w:rPr>
              <w:t>18</w:t>
            </w:r>
          </w:p>
        </w:tc>
        <w:tc>
          <w:tcPr>
            <w:tcW w:w="710" w:type="pct"/>
            <w:vAlign w:val="center"/>
          </w:tcPr>
          <w:p w14:paraId="424E6CAC" w14:textId="5EA4BC8C" w:rsidR="00D80A55" w:rsidRPr="00A01261" w:rsidRDefault="00D80A55" w:rsidP="00D80A55">
            <w:pPr>
              <w:pStyle w:val="Ingetavstnd"/>
              <w:rPr>
                <w:rFonts w:hAnsiTheme="minorHAnsi" w:cstheme="minorHAnsi"/>
                <w:sz w:val="18"/>
                <w:szCs w:val="18"/>
              </w:rPr>
            </w:pPr>
            <w:r>
              <w:rPr>
                <w:rFonts w:ascii="Segoe UI" w:hAnsi="Segoe UI" w:cs="Segoe UI"/>
                <w:sz w:val="18"/>
                <w:szCs w:val="18"/>
              </w:rPr>
              <w:t>No differences in subjective knee function between surgical techniques of anterior cruciate ligament reconstruction at two-year follow-up: a cohort study from the SNKLR</w:t>
            </w:r>
          </w:p>
        </w:tc>
        <w:tc>
          <w:tcPr>
            <w:tcW w:w="477" w:type="pct"/>
            <w:vAlign w:val="center"/>
          </w:tcPr>
          <w:p w14:paraId="55ABED08" w14:textId="202A4848" w:rsidR="00D80A55" w:rsidRPr="00A01261" w:rsidRDefault="00D80A55" w:rsidP="00D80A55">
            <w:pPr>
              <w:pStyle w:val="Ingetavstnd"/>
              <w:rPr>
                <w:rFonts w:hAnsiTheme="minorHAnsi" w:cstheme="minorHAnsi"/>
                <w:sz w:val="18"/>
                <w:szCs w:val="18"/>
              </w:rPr>
            </w:pPr>
            <w:r>
              <w:rPr>
                <w:rFonts w:hAnsiTheme="minorHAnsi" w:cstheme="minorHAnsi"/>
                <w:color w:val="000000"/>
                <w:sz w:val="18"/>
                <w:szCs w:val="18"/>
              </w:rPr>
              <w:t>T</w:t>
            </w:r>
            <w:r w:rsidRPr="0095628A">
              <w:rPr>
                <w:rFonts w:hAnsiTheme="minorHAnsi" w:cstheme="minorHAnsi"/>
                <w:color w:val="000000"/>
                <w:sz w:val="18"/>
                <w:szCs w:val="18"/>
              </w:rPr>
              <w:t>o investigate</w:t>
            </w:r>
            <w:r>
              <w:rPr>
                <w:rFonts w:hAnsiTheme="minorHAnsi" w:cstheme="minorHAnsi"/>
                <w:color w:val="000000"/>
                <w:sz w:val="18"/>
                <w:szCs w:val="18"/>
              </w:rPr>
              <w:t xml:space="preserve"> </w:t>
            </w:r>
            <w:r w:rsidRPr="0095628A">
              <w:rPr>
                <w:rFonts w:hAnsiTheme="minorHAnsi" w:cstheme="minorHAnsi"/>
                <w:color w:val="000000"/>
                <w:sz w:val="18"/>
                <w:szCs w:val="18"/>
              </w:rPr>
              <w:t xml:space="preserve">how different techniques of </w:t>
            </w:r>
            <w:r>
              <w:rPr>
                <w:rFonts w:hAnsiTheme="minorHAnsi" w:cstheme="minorHAnsi"/>
                <w:color w:val="000000"/>
                <w:sz w:val="18"/>
                <w:szCs w:val="18"/>
              </w:rPr>
              <w:t xml:space="preserve">single-bundle </w:t>
            </w:r>
            <w:r w:rsidRPr="0095628A">
              <w:rPr>
                <w:rFonts w:hAnsiTheme="minorHAnsi" w:cstheme="minorHAnsi"/>
                <w:color w:val="000000"/>
                <w:sz w:val="18"/>
                <w:szCs w:val="18"/>
              </w:rPr>
              <w:t>ACL</w:t>
            </w:r>
            <w:r>
              <w:rPr>
                <w:rFonts w:hAnsiTheme="minorHAnsi" w:cstheme="minorHAnsi"/>
                <w:color w:val="000000"/>
                <w:sz w:val="18"/>
                <w:szCs w:val="18"/>
              </w:rPr>
              <w:t>R</w:t>
            </w:r>
            <w:r w:rsidRPr="0095628A">
              <w:rPr>
                <w:rFonts w:hAnsiTheme="minorHAnsi" w:cstheme="minorHAnsi"/>
                <w:color w:val="000000"/>
                <w:sz w:val="18"/>
                <w:szCs w:val="18"/>
              </w:rPr>
              <w:t xml:space="preserve"> affect KOOS evaluation</w:t>
            </w:r>
            <w:r>
              <w:rPr>
                <w:rFonts w:hAnsiTheme="minorHAnsi" w:cstheme="minorHAnsi"/>
                <w:color w:val="000000"/>
                <w:sz w:val="18"/>
                <w:szCs w:val="18"/>
              </w:rPr>
              <w:t xml:space="preserve"> during</w:t>
            </w:r>
            <w:r w:rsidRPr="0095628A">
              <w:rPr>
                <w:rFonts w:hAnsiTheme="minorHAnsi" w:cstheme="minorHAnsi"/>
                <w:color w:val="000000"/>
                <w:sz w:val="18"/>
                <w:szCs w:val="18"/>
              </w:rPr>
              <w:t xml:space="preserve"> </w:t>
            </w:r>
            <w:r>
              <w:rPr>
                <w:rFonts w:hAnsiTheme="minorHAnsi" w:cstheme="minorHAnsi"/>
                <w:color w:val="000000"/>
                <w:sz w:val="18"/>
                <w:szCs w:val="18"/>
              </w:rPr>
              <w:t>two</w:t>
            </w:r>
            <w:r w:rsidRPr="0095628A">
              <w:rPr>
                <w:rFonts w:hAnsiTheme="minorHAnsi" w:cstheme="minorHAnsi"/>
                <w:color w:val="000000"/>
                <w:sz w:val="18"/>
                <w:szCs w:val="18"/>
              </w:rPr>
              <w:t xml:space="preserve"> years </w:t>
            </w:r>
            <w:r>
              <w:rPr>
                <w:rFonts w:hAnsiTheme="minorHAnsi" w:cstheme="minorHAnsi"/>
                <w:color w:val="000000"/>
                <w:sz w:val="18"/>
                <w:szCs w:val="18"/>
              </w:rPr>
              <w:t>af</w:t>
            </w:r>
            <w:r w:rsidRPr="0095628A">
              <w:rPr>
                <w:rFonts w:hAnsiTheme="minorHAnsi" w:cstheme="minorHAnsi"/>
                <w:color w:val="000000"/>
                <w:sz w:val="18"/>
                <w:szCs w:val="18"/>
              </w:rPr>
              <w:t>ter surgery</w:t>
            </w:r>
          </w:p>
        </w:tc>
        <w:tc>
          <w:tcPr>
            <w:tcW w:w="574" w:type="pct"/>
            <w:vAlign w:val="center"/>
          </w:tcPr>
          <w:p w14:paraId="3FB130FC" w14:textId="1123A58F" w:rsidR="00D80A55" w:rsidRPr="00A01261" w:rsidRDefault="00D80A55" w:rsidP="00D80A55">
            <w:pPr>
              <w:pStyle w:val="Ingetavstnd"/>
              <w:rPr>
                <w:rFonts w:hAnsiTheme="minorHAnsi" w:cstheme="minorHAnsi"/>
                <w:sz w:val="18"/>
                <w:szCs w:val="18"/>
              </w:rPr>
            </w:pPr>
            <w:r>
              <w:rPr>
                <w:rFonts w:hAnsiTheme="minorHAnsi" w:cstheme="minorHAnsi"/>
                <w:color w:val="000000"/>
                <w:sz w:val="18"/>
                <w:szCs w:val="18"/>
              </w:rPr>
              <w:t>KOOS</w:t>
            </w:r>
          </w:p>
        </w:tc>
        <w:tc>
          <w:tcPr>
            <w:tcW w:w="441" w:type="pct"/>
            <w:vAlign w:val="center"/>
          </w:tcPr>
          <w:p w14:paraId="1F9329A8" w14:textId="77777777" w:rsidR="00D80A55" w:rsidRDefault="00D80A55" w:rsidP="00D80A55">
            <w:pPr>
              <w:pStyle w:val="Ingetavstnd"/>
              <w:rPr>
                <w:rFonts w:hAnsiTheme="minorHAnsi" w:cstheme="minorHAnsi"/>
                <w:color w:val="000000"/>
                <w:sz w:val="18"/>
                <w:szCs w:val="18"/>
              </w:rPr>
            </w:pPr>
            <w:r>
              <w:rPr>
                <w:rFonts w:hAnsiTheme="minorHAnsi" w:cstheme="minorHAnsi"/>
                <w:color w:val="000000"/>
                <w:sz w:val="18"/>
                <w:szCs w:val="18"/>
              </w:rPr>
              <w:t xml:space="preserve">N = 13,636 </w:t>
            </w:r>
          </w:p>
          <w:p w14:paraId="0BB10EAA" w14:textId="462DC307" w:rsidR="00D80A55" w:rsidRPr="00A01261" w:rsidRDefault="00D80A55" w:rsidP="00D80A55">
            <w:pPr>
              <w:pStyle w:val="Ingetavstnd"/>
              <w:rPr>
                <w:rFonts w:hAnsiTheme="minorHAnsi" w:cstheme="minorHAnsi"/>
                <w:sz w:val="18"/>
                <w:szCs w:val="18"/>
                <w:lang w:val="sv-SE"/>
              </w:rPr>
            </w:pPr>
            <w:r>
              <w:rPr>
                <w:rFonts w:hAnsiTheme="minorHAnsi" w:cstheme="minorHAnsi"/>
                <w:color w:val="000000"/>
                <w:sz w:val="18"/>
                <w:szCs w:val="18"/>
              </w:rPr>
              <w:t>(F = 43.5%)</w:t>
            </w:r>
          </w:p>
        </w:tc>
        <w:tc>
          <w:tcPr>
            <w:tcW w:w="444" w:type="pct"/>
            <w:vAlign w:val="center"/>
          </w:tcPr>
          <w:p w14:paraId="228C3E71" w14:textId="4E95970B" w:rsidR="00D80A55" w:rsidRPr="00A01261" w:rsidRDefault="00D80A55" w:rsidP="00D80A55">
            <w:pPr>
              <w:pStyle w:val="Ingetavstnd"/>
              <w:rPr>
                <w:rFonts w:hAnsiTheme="minorHAnsi" w:cstheme="minorHAnsi"/>
                <w:sz w:val="18"/>
                <w:szCs w:val="18"/>
              </w:rPr>
            </w:pPr>
            <w:r>
              <w:rPr>
                <w:rFonts w:hAnsiTheme="minorHAnsi" w:cstheme="minorHAnsi"/>
                <w:color w:val="000000"/>
                <w:sz w:val="18"/>
                <w:szCs w:val="18"/>
              </w:rPr>
              <w:t>2 years</w:t>
            </w:r>
          </w:p>
        </w:tc>
        <w:tc>
          <w:tcPr>
            <w:tcW w:w="424" w:type="pct"/>
            <w:vAlign w:val="center"/>
          </w:tcPr>
          <w:p w14:paraId="79442EBE" w14:textId="24B1DEAA" w:rsidR="00D80A55" w:rsidRPr="00A01261" w:rsidRDefault="00D80A55" w:rsidP="00D80A55">
            <w:pPr>
              <w:pStyle w:val="Ingetavstnd"/>
              <w:rPr>
                <w:rFonts w:hAnsiTheme="minorHAnsi" w:cstheme="minorHAnsi"/>
                <w:sz w:val="18"/>
                <w:szCs w:val="18"/>
              </w:rPr>
            </w:pPr>
            <w:r>
              <w:rPr>
                <w:rFonts w:hAnsiTheme="minorHAnsi" w:cstheme="minorHAnsi"/>
                <w:color w:val="000000"/>
                <w:sz w:val="18"/>
                <w:szCs w:val="18"/>
              </w:rPr>
              <w:t>Repeated measures ANOVA Linear mixed model</w:t>
            </w:r>
          </w:p>
        </w:tc>
        <w:tc>
          <w:tcPr>
            <w:tcW w:w="932" w:type="pct"/>
            <w:vAlign w:val="center"/>
          </w:tcPr>
          <w:p w14:paraId="47C229FB" w14:textId="04479D82" w:rsidR="00D80A55" w:rsidRPr="00C65D53" w:rsidRDefault="00D80A55" w:rsidP="00D80A55">
            <w:pPr>
              <w:pStyle w:val="Ingetavstnd"/>
              <w:rPr>
                <w:rFonts w:hAnsiTheme="minorHAnsi" w:cstheme="minorHAnsi"/>
                <w:color w:val="000000"/>
                <w:sz w:val="18"/>
                <w:szCs w:val="18"/>
              </w:rPr>
            </w:pPr>
            <w:r w:rsidRPr="0095628A">
              <w:rPr>
                <w:rFonts w:hAnsiTheme="minorHAnsi" w:cstheme="minorHAnsi"/>
                <w:color w:val="000000"/>
                <w:sz w:val="18"/>
                <w:szCs w:val="18"/>
              </w:rPr>
              <w:t>Surgical techniques of primary single-bundle</w:t>
            </w:r>
            <w:r>
              <w:rPr>
                <w:rFonts w:hAnsiTheme="minorHAnsi" w:cstheme="minorHAnsi"/>
                <w:color w:val="000000"/>
                <w:sz w:val="18"/>
                <w:szCs w:val="18"/>
              </w:rPr>
              <w:t xml:space="preserve"> ACLR </w:t>
            </w:r>
            <w:r w:rsidRPr="0095628A">
              <w:rPr>
                <w:rFonts w:hAnsiTheme="minorHAnsi" w:cstheme="minorHAnsi"/>
                <w:color w:val="000000"/>
                <w:sz w:val="18"/>
                <w:szCs w:val="18"/>
              </w:rPr>
              <w:t>did not</w:t>
            </w:r>
            <w:r>
              <w:rPr>
                <w:rFonts w:hAnsiTheme="minorHAnsi" w:cstheme="minorHAnsi"/>
                <w:color w:val="000000"/>
                <w:sz w:val="18"/>
                <w:szCs w:val="18"/>
              </w:rPr>
              <w:t xml:space="preserve"> </w:t>
            </w:r>
            <w:r w:rsidRPr="0095628A">
              <w:rPr>
                <w:rFonts w:hAnsiTheme="minorHAnsi" w:cstheme="minorHAnsi"/>
                <w:color w:val="000000"/>
                <w:sz w:val="18"/>
                <w:szCs w:val="18"/>
              </w:rPr>
              <w:t>demonstrate differences in</w:t>
            </w:r>
            <w:r>
              <w:rPr>
                <w:rFonts w:hAnsiTheme="minorHAnsi" w:cstheme="minorHAnsi"/>
                <w:color w:val="000000"/>
                <w:sz w:val="18"/>
                <w:szCs w:val="18"/>
              </w:rPr>
              <w:t xml:space="preserve"> </w:t>
            </w:r>
            <w:r w:rsidRPr="0095628A">
              <w:rPr>
                <w:rFonts w:hAnsiTheme="minorHAnsi" w:cstheme="minorHAnsi"/>
                <w:color w:val="000000"/>
                <w:sz w:val="18"/>
                <w:szCs w:val="18"/>
              </w:rPr>
              <w:t>the improvement in base</w:t>
            </w:r>
            <w:r>
              <w:rPr>
                <w:rFonts w:hAnsiTheme="minorHAnsi" w:cstheme="minorHAnsi"/>
                <w:color w:val="000000"/>
                <w:sz w:val="18"/>
                <w:szCs w:val="18"/>
              </w:rPr>
              <w:t>line subjective knee function in</w:t>
            </w:r>
            <w:r w:rsidRPr="0095628A">
              <w:rPr>
                <w:rFonts w:hAnsiTheme="minorHAnsi" w:cstheme="minorHAnsi"/>
                <w:color w:val="000000"/>
                <w:sz w:val="18"/>
                <w:szCs w:val="18"/>
              </w:rPr>
              <w:t xml:space="preserve"> </w:t>
            </w:r>
            <w:r>
              <w:rPr>
                <w:rFonts w:hAnsiTheme="minorHAnsi" w:cstheme="minorHAnsi"/>
                <w:color w:val="000000"/>
                <w:sz w:val="18"/>
                <w:szCs w:val="18"/>
              </w:rPr>
              <w:t xml:space="preserve">the </w:t>
            </w:r>
            <w:r w:rsidRPr="0095628A">
              <w:rPr>
                <w:rFonts w:hAnsiTheme="minorHAnsi" w:cstheme="minorHAnsi"/>
                <w:color w:val="000000"/>
                <w:sz w:val="18"/>
                <w:szCs w:val="18"/>
              </w:rPr>
              <w:t xml:space="preserve">KOOS4 during the first </w:t>
            </w:r>
            <w:r>
              <w:rPr>
                <w:rFonts w:hAnsiTheme="minorHAnsi" w:cstheme="minorHAnsi"/>
                <w:color w:val="000000"/>
                <w:sz w:val="18"/>
                <w:szCs w:val="18"/>
              </w:rPr>
              <w:t xml:space="preserve">two years after </w:t>
            </w:r>
            <w:r w:rsidRPr="0095628A">
              <w:rPr>
                <w:rFonts w:hAnsiTheme="minorHAnsi" w:cstheme="minorHAnsi"/>
                <w:color w:val="000000"/>
                <w:sz w:val="18"/>
                <w:szCs w:val="18"/>
              </w:rPr>
              <w:t>surgery.</w:t>
            </w:r>
          </w:p>
        </w:tc>
      </w:tr>
      <w:tr w:rsidR="00D80A55" w:rsidRPr="00A01261" w14:paraId="70AFDBF8" w14:textId="77777777" w:rsidTr="00D80A55">
        <w:tc>
          <w:tcPr>
            <w:tcW w:w="448" w:type="pct"/>
            <w:vAlign w:val="center"/>
          </w:tcPr>
          <w:p w14:paraId="345BC756" w14:textId="6D6DEC32" w:rsidR="00D80A55" w:rsidRPr="00A01261" w:rsidRDefault="00D80A55" w:rsidP="00D80A55">
            <w:pPr>
              <w:pStyle w:val="Ingetavstnd"/>
              <w:rPr>
                <w:rFonts w:hAnsiTheme="minorHAnsi" w:cstheme="minorHAnsi"/>
                <w:sz w:val="18"/>
                <w:szCs w:val="18"/>
              </w:rPr>
            </w:pPr>
            <w:proofErr w:type="spellStart"/>
            <w:r>
              <w:rPr>
                <w:rFonts w:cstheme="minorHAnsi"/>
                <w:sz w:val="18"/>
                <w:szCs w:val="18"/>
              </w:rPr>
              <w:t>Hjermundrud</w:t>
            </w:r>
            <w:proofErr w:type="spellEnd"/>
            <w:r>
              <w:rPr>
                <w:rFonts w:cstheme="minorHAnsi"/>
                <w:sz w:val="18"/>
                <w:szCs w:val="18"/>
              </w:rPr>
              <w:t xml:space="preserve"> et al (2010)</w:t>
            </w:r>
          </w:p>
        </w:tc>
        <w:tc>
          <w:tcPr>
            <w:tcW w:w="290" w:type="pct"/>
            <w:vAlign w:val="center"/>
          </w:tcPr>
          <w:p w14:paraId="3F7F1035" w14:textId="1DEF13E6" w:rsidR="00D80A55" w:rsidRDefault="00D80A55" w:rsidP="00D80A55">
            <w:pPr>
              <w:pStyle w:val="Ingetavstnd"/>
              <w:jc w:val="center"/>
              <w:rPr>
                <w:rFonts w:hAnsiTheme="minorHAnsi" w:cstheme="minorHAnsi"/>
                <w:color w:val="000000"/>
                <w:sz w:val="18"/>
                <w:szCs w:val="18"/>
              </w:rPr>
            </w:pPr>
            <w:r>
              <w:rPr>
                <w:rFonts w:hAnsiTheme="minorHAnsi" w:cstheme="minorHAnsi"/>
                <w:color w:val="000000"/>
                <w:sz w:val="18"/>
                <w:szCs w:val="18"/>
              </w:rPr>
              <w:t>Nor</w:t>
            </w:r>
          </w:p>
        </w:tc>
        <w:tc>
          <w:tcPr>
            <w:tcW w:w="260" w:type="pct"/>
            <w:vAlign w:val="center"/>
          </w:tcPr>
          <w:p w14:paraId="76FAFEC3" w14:textId="05AF1EE2" w:rsidR="00D80A55" w:rsidRDefault="00D80A55" w:rsidP="00D80A55">
            <w:pPr>
              <w:pStyle w:val="Ingetavstnd"/>
              <w:jc w:val="center"/>
              <w:rPr>
                <w:rFonts w:ascii="Calibri" w:hAnsi="Calibri"/>
                <w:color w:val="000000"/>
                <w:sz w:val="18"/>
                <w:szCs w:val="18"/>
              </w:rPr>
            </w:pPr>
            <w:r>
              <w:rPr>
                <w:rFonts w:ascii="Calibri" w:hAnsi="Calibri"/>
                <w:color w:val="000000"/>
                <w:sz w:val="18"/>
                <w:szCs w:val="18"/>
              </w:rPr>
              <w:t>17</w:t>
            </w:r>
          </w:p>
        </w:tc>
        <w:tc>
          <w:tcPr>
            <w:tcW w:w="710" w:type="pct"/>
            <w:vAlign w:val="center"/>
          </w:tcPr>
          <w:p w14:paraId="3FFAFE7E" w14:textId="30B3A62E" w:rsidR="00D80A55" w:rsidRPr="00A01261" w:rsidRDefault="00D80A55" w:rsidP="00D80A55">
            <w:pPr>
              <w:pStyle w:val="Ingetavstnd"/>
              <w:rPr>
                <w:rFonts w:hAnsiTheme="minorHAnsi" w:cstheme="minorHAnsi"/>
                <w:sz w:val="18"/>
                <w:szCs w:val="18"/>
              </w:rPr>
            </w:pPr>
            <w:r>
              <w:rPr>
                <w:rFonts w:ascii="Calibri" w:hAnsi="Calibri"/>
                <w:color w:val="000000"/>
                <w:sz w:val="18"/>
                <w:szCs w:val="18"/>
              </w:rPr>
              <w:t>A full-thickness cartilage lesion does not affect knee function in patients with ACL injury</w:t>
            </w:r>
          </w:p>
        </w:tc>
        <w:tc>
          <w:tcPr>
            <w:tcW w:w="477" w:type="pct"/>
            <w:vAlign w:val="center"/>
          </w:tcPr>
          <w:p w14:paraId="1B01EFDB" w14:textId="6ACC90E0" w:rsidR="00D80A55" w:rsidRPr="00A01261" w:rsidRDefault="00D80A55" w:rsidP="00D80A55">
            <w:pPr>
              <w:pStyle w:val="Ingetavstnd"/>
              <w:rPr>
                <w:rFonts w:hAnsiTheme="minorHAnsi" w:cstheme="minorHAnsi"/>
                <w:sz w:val="18"/>
                <w:szCs w:val="18"/>
              </w:rPr>
            </w:pPr>
            <w:r>
              <w:rPr>
                <w:rFonts w:ascii="Calibri" w:hAnsi="Calibri"/>
                <w:color w:val="000000"/>
                <w:sz w:val="18"/>
                <w:szCs w:val="18"/>
              </w:rPr>
              <w:t>To compare knee function in patients with a combined ACL injury and full-thickness cartilage lesion with knee functions in patients with an ACL injury but no cartilage lesions</w:t>
            </w:r>
          </w:p>
        </w:tc>
        <w:tc>
          <w:tcPr>
            <w:tcW w:w="574" w:type="pct"/>
            <w:vAlign w:val="center"/>
          </w:tcPr>
          <w:p w14:paraId="345B745C" w14:textId="44DEDB35" w:rsidR="00D80A55" w:rsidRPr="00A01261" w:rsidRDefault="00D80A55" w:rsidP="00D80A55">
            <w:pPr>
              <w:pStyle w:val="Ingetavstnd"/>
              <w:rPr>
                <w:rFonts w:hAnsiTheme="minorHAnsi" w:cstheme="minorHAnsi"/>
                <w:sz w:val="18"/>
                <w:szCs w:val="18"/>
              </w:rPr>
            </w:pPr>
            <w:r>
              <w:rPr>
                <w:rFonts w:hAnsiTheme="minorHAnsi" w:cstheme="minorHAnsi"/>
                <w:color w:val="000000"/>
                <w:sz w:val="18"/>
                <w:szCs w:val="18"/>
              </w:rPr>
              <w:t>KOOS</w:t>
            </w:r>
          </w:p>
        </w:tc>
        <w:tc>
          <w:tcPr>
            <w:tcW w:w="441" w:type="pct"/>
            <w:vAlign w:val="center"/>
          </w:tcPr>
          <w:p w14:paraId="348C6795" w14:textId="77777777" w:rsidR="00D80A55" w:rsidRDefault="00D80A55" w:rsidP="00D80A55">
            <w:pPr>
              <w:rPr>
                <w:rFonts w:ascii="Calibri" w:hAnsi="Calibri"/>
                <w:color w:val="000000"/>
                <w:sz w:val="18"/>
                <w:szCs w:val="18"/>
              </w:rPr>
            </w:pPr>
            <w:r>
              <w:rPr>
                <w:rFonts w:ascii="Calibri" w:hAnsi="Calibri"/>
                <w:color w:val="000000"/>
                <w:sz w:val="18"/>
                <w:szCs w:val="18"/>
              </w:rPr>
              <w:t>N = 90</w:t>
            </w:r>
          </w:p>
          <w:p w14:paraId="338BB20F" w14:textId="096E851E" w:rsidR="00D80A55" w:rsidRPr="00833E7F" w:rsidRDefault="00D80A55" w:rsidP="00D80A55">
            <w:pPr>
              <w:pStyle w:val="Ingetavstnd"/>
              <w:rPr>
                <w:rFonts w:hAnsiTheme="minorHAnsi" w:cstheme="minorHAnsi"/>
                <w:sz w:val="18"/>
                <w:szCs w:val="18"/>
              </w:rPr>
            </w:pPr>
            <w:r>
              <w:rPr>
                <w:rFonts w:ascii="Calibri" w:hAnsi="Calibri"/>
                <w:color w:val="000000"/>
                <w:sz w:val="18"/>
                <w:szCs w:val="18"/>
              </w:rPr>
              <w:t>30 patients with a full-thickness chondral defect (ICRS grade 3-4)</w:t>
            </w:r>
          </w:p>
        </w:tc>
        <w:tc>
          <w:tcPr>
            <w:tcW w:w="444" w:type="pct"/>
            <w:vAlign w:val="center"/>
          </w:tcPr>
          <w:p w14:paraId="113AAB9D" w14:textId="67AD5661" w:rsidR="00D80A55" w:rsidRPr="00A01261" w:rsidRDefault="00D80A55" w:rsidP="00D80A55">
            <w:pPr>
              <w:pStyle w:val="Ingetavstnd"/>
              <w:rPr>
                <w:rFonts w:hAnsiTheme="minorHAnsi" w:cstheme="minorHAnsi"/>
                <w:sz w:val="18"/>
                <w:szCs w:val="18"/>
              </w:rPr>
            </w:pPr>
            <w:r>
              <w:rPr>
                <w:rFonts w:hAnsiTheme="minorHAnsi" w:cstheme="minorHAnsi"/>
                <w:color w:val="000000"/>
                <w:sz w:val="18"/>
                <w:szCs w:val="18"/>
              </w:rPr>
              <w:t>Preoperative</w:t>
            </w:r>
          </w:p>
        </w:tc>
        <w:tc>
          <w:tcPr>
            <w:tcW w:w="424" w:type="pct"/>
            <w:vAlign w:val="center"/>
          </w:tcPr>
          <w:p w14:paraId="36BE2291" w14:textId="77777777" w:rsidR="00D80A55" w:rsidRDefault="00D80A55" w:rsidP="00D80A55">
            <w:pPr>
              <w:rPr>
                <w:rFonts w:ascii="Calibri" w:hAnsi="Calibri"/>
                <w:color w:val="000000"/>
                <w:sz w:val="18"/>
                <w:szCs w:val="18"/>
              </w:rPr>
            </w:pPr>
            <w:r>
              <w:rPr>
                <w:rFonts w:ascii="Calibri" w:hAnsi="Calibri"/>
                <w:color w:val="000000"/>
                <w:sz w:val="18"/>
                <w:szCs w:val="18"/>
              </w:rPr>
              <w:t xml:space="preserve">Mann-Whitney U </w:t>
            </w:r>
          </w:p>
          <w:p w14:paraId="12D6686D" w14:textId="2E6E2CCE" w:rsidR="00D80A55" w:rsidRPr="00A01261" w:rsidRDefault="00D80A55" w:rsidP="00D80A55">
            <w:pPr>
              <w:pStyle w:val="Ingetavstnd"/>
              <w:rPr>
                <w:rFonts w:hAnsiTheme="minorHAnsi" w:cstheme="minorHAnsi"/>
                <w:sz w:val="18"/>
                <w:szCs w:val="18"/>
              </w:rPr>
            </w:pPr>
          </w:p>
        </w:tc>
        <w:tc>
          <w:tcPr>
            <w:tcW w:w="932" w:type="pct"/>
            <w:vAlign w:val="center"/>
          </w:tcPr>
          <w:p w14:paraId="3740F2B6" w14:textId="77777777" w:rsidR="00D80A55" w:rsidRDefault="00D80A55" w:rsidP="00D80A55">
            <w:pPr>
              <w:rPr>
                <w:rFonts w:ascii="Calibri" w:hAnsi="Calibri"/>
                <w:color w:val="000000"/>
                <w:sz w:val="18"/>
                <w:szCs w:val="18"/>
              </w:rPr>
            </w:pPr>
            <w:r>
              <w:rPr>
                <w:rFonts w:ascii="Calibri" w:hAnsi="Calibri"/>
                <w:color w:val="000000"/>
                <w:sz w:val="18"/>
                <w:szCs w:val="18"/>
              </w:rPr>
              <w:t>The combination of a full-thickness cartilage lesion and an ACL rupture did not result in inferior knee function at the time of the ACL reconstruction, as measured by the KOOS.</w:t>
            </w:r>
          </w:p>
          <w:p w14:paraId="4670CE87" w14:textId="071792FA" w:rsidR="00D80A55" w:rsidRPr="00A01261" w:rsidRDefault="00D80A55" w:rsidP="00D80A55">
            <w:pPr>
              <w:pStyle w:val="Ingetavstnd"/>
              <w:rPr>
                <w:rFonts w:hAnsiTheme="minorHAnsi" w:cstheme="minorHAnsi"/>
                <w:sz w:val="18"/>
                <w:szCs w:val="18"/>
              </w:rPr>
            </w:pPr>
          </w:p>
        </w:tc>
      </w:tr>
      <w:tr w:rsidR="00D80A55" w:rsidRPr="00A01261" w14:paraId="1F566C71" w14:textId="77777777" w:rsidTr="00D80A55">
        <w:tc>
          <w:tcPr>
            <w:tcW w:w="448" w:type="pct"/>
            <w:vAlign w:val="center"/>
          </w:tcPr>
          <w:p w14:paraId="17B2AC3F" w14:textId="61FE77E7" w:rsidR="00D80A55" w:rsidRPr="00A01261" w:rsidRDefault="00D80A55" w:rsidP="00D80A55">
            <w:pPr>
              <w:pStyle w:val="Ingetavstnd"/>
              <w:rPr>
                <w:rFonts w:hAnsiTheme="minorHAnsi" w:cstheme="minorHAnsi"/>
                <w:sz w:val="18"/>
                <w:szCs w:val="18"/>
              </w:rPr>
            </w:pPr>
            <w:proofErr w:type="spellStart"/>
            <w:r>
              <w:rPr>
                <w:rFonts w:cstheme="minorHAnsi"/>
                <w:sz w:val="18"/>
                <w:szCs w:val="18"/>
              </w:rPr>
              <w:lastRenderedPageBreak/>
              <w:t>Ingelsrud</w:t>
            </w:r>
            <w:proofErr w:type="spellEnd"/>
            <w:r>
              <w:rPr>
                <w:rFonts w:cstheme="minorHAnsi"/>
                <w:sz w:val="18"/>
                <w:szCs w:val="18"/>
              </w:rPr>
              <w:t xml:space="preserve"> et al (2015)</w:t>
            </w:r>
          </w:p>
        </w:tc>
        <w:tc>
          <w:tcPr>
            <w:tcW w:w="290" w:type="pct"/>
            <w:vAlign w:val="center"/>
          </w:tcPr>
          <w:p w14:paraId="1E9938D2" w14:textId="3C3865C1" w:rsidR="00D80A55" w:rsidRDefault="00D80A55" w:rsidP="00D80A55">
            <w:pPr>
              <w:pStyle w:val="Ingetavstnd"/>
              <w:jc w:val="center"/>
              <w:rPr>
                <w:rFonts w:hAnsiTheme="minorHAnsi" w:cstheme="minorHAnsi"/>
                <w:color w:val="000000"/>
                <w:sz w:val="18"/>
                <w:szCs w:val="18"/>
              </w:rPr>
            </w:pPr>
            <w:r>
              <w:rPr>
                <w:rFonts w:hAnsiTheme="minorHAnsi" w:cstheme="minorHAnsi"/>
                <w:color w:val="000000"/>
                <w:sz w:val="18"/>
                <w:szCs w:val="18"/>
              </w:rPr>
              <w:t>Nor</w:t>
            </w:r>
          </w:p>
        </w:tc>
        <w:tc>
          <w:tcPr>
            <w:tcW w:w="260" w:type="pct"/>
            <w:vAlign w:val="center"/>
          </w:tcPr>
          <w:p w14:paraId="74CC64D9" w14:textId="083223AE" w:rsidR="00D80A55" w:rsidRDefault="00D80A55" w:rsidP="00D80A55">
            <w:pPr>
              <w:jc w:val="center"/>
              <w:rPr>
                <w:rFonts w:ascii="Calibri" w:hAnsi="Calibri"/>
                <w:color w:val="000000"/>
                <w:sz w:val="18"/>
                <w:szCs w:val="18"/>
              </w:rPr>
            </w:pPr>
            <w:r>
              <w:rPr>
                <w:rFonts w:ascii="Calibri" w:hAnsi="Calibri"/>
                <w:color w:val="000000"/>
                <w:sz w:val="18"/>
                <w:szCs w:val="18"/>
              </w:rPr>
              <w:t>16</w:t>
            </w:r>
          </w:p>
        </w:tc>
        <w:tc>
          <w:tcPr>
            <w:tcW w:w="710" w:type="pct"/>
            <w:vAlign w:val="center"/>
          </w:tcPr>
          <w:p w14:paraId="51AC0862" w14:textId="6B419E17" w:rsidR="00D80A55" w:rsidRDefault="00D80A55" w:rsidP="00D80A55">
            <w:pPr>
              <w:rPr>
                <w:rFonts w:ascii="Calibri" w:hAnsi="Calibri"/>
                <w:color w:val="000000"/>
                <w:sz w:val="18"/>
                <w:szCs w:val="18"/>
              </w:rPr>
            </w:pPr>
            <w:r>
              <w:rPr>
                <w:rFonts w:ascii="Calibri" w:hAnsi="Calibri"/>
                <w:color w:val="000000"/>
                <w:sz w:val="18"/>
                <w:szCs w:val="18"/>
              </w:rPr>
              <w:t>Proportion of Patients Reporting Acceptable Symptoms or Treatment Failure and Their Associated KOOS Values at Six to 24 Months After ACLR: A study from the NKLR</w:t>
            </w:r>
          </w:p>
          <w:p w14:paraId="3C86B62B" w14:textId="11CB8E17" w:rsidR="00D80A55" w:rsidRPr="00A01261" w:rsidRDefault="00D80A55" w:rsidP="00D80A55">
            <w:pPr>
              <w:pStyle w:val="Ingetavstnd"/>
              <w:rPr>
                <w:rFonts w:hAnsiTheme="minorHAnsi" w:cstheme="minorHAnsi"/>
                <w:sz w:val="18"/>
                <w:szCs w:val="18"/>
              </w:rPr>
            </w:pPr>
          </w:p>
        </w:tc>
        <w:tc>
          <w:tcPr>
            <w:tcW w:w="477" w:type="pct"/>
            <w:vAlign w:val="center"/>
          </w:tcPr>
          <w:p w14:paraId="17075BD3" w14:textId="4FCA7064" w:rsidR="00D80A55" w:rsidRPr="00A01261" w:rsidRDefault="00D80A55" w:rsidP="00D80A55">
            <w:pPr>
              <w:pStyle w:val="Ingetavstnd"/>
              <w:rPr>
                <w:rFonts w:hAnsiTheme="minorHAnsi" w:cstheme="minorHAnsi"/>
                <w:sz w:val="18"/>
                <w:szCs w:val="18"/>
              </w:rPr>
            </w:pPr>
            <w:r>
              <w:rPr>
                <w:rFonts w:ascii="Calibri" w:hAnsi="Calibri"/>
                <w:color w:val="000000"/>
                <w:sz w:val="18"/>
                <w:szCs w:val="18"/>
              </w:rPr>
              <w:t>To determine the proportion of patients reporting acceptable symptoms or treatment failure at six to 24 months after ACLR</w:t>
            </w:r>
          </w:p>
        </w:tc>
        <w:tc>
          <w:tcPr>
            <w:tcW w:w="574" w:type="pct"/>
            <w:vAlign w:val="center"/>
          </w:tcPr>
          <w:p w14:paraId="105A7D14" w14:textId="24468F89" w:rsidR="00D80A55" w:rsidRPr="00A01261" w:rsidRDefault="00D80A55" w:rsidP="00D80A55">
            <w:pPr>
              <w:pStyle w:val="Ingetavstnd"/>
              <w:rPr>
                <w:rFonts w:hAnsiTheme="minorHAnsi" w:cstheme="minorHAnsi"/>
                <w:sz w:val="18"/>
                <w:szCs w:val="18"/>
              </w:rPr>
            </w:pPr>
            <w:r>
              <w:rPr>
                <w:rFonts w:hAnsiTheme="minorHAnsi" w:cstheme="minorHAnsi"/>
                <w:color w:val="000000"/>
                <w:sz w:val="18"/>
                <w:szCs w:val="18"/>
              </w:rPr>
              <w:t>KOOS</w:t>
            </w:r>
          </w:p>
        </w:tc>
        <w:tc>
          <w:tcPr>
            <w:tcW w:w="441" w:type="pct"/>
            <w:vAlign w:val="center"/>
          </w:tcPr>
          <w:p w14:paraId="7A7D306B" w14:textId="41FD4121" w:rsidR="00D80A55" w:rsidRPr="00A01261" w:rsidRDefault="00D80A55" w:rsidP="00D80A55">
            <w:pPr>
              <w:pStyle w:val="Ingetavstnd"/>
              <w:rPr>
                <w:rFonts w:hAnsiTheme="minorHAnsi" w:cstheme="minorHAnsi"/>
                <w:sz w:val="18"/>
                <w:szCs w:val="18"/>
              </w:rPr>
            </w:pPr>
            <w:r>
              <w:rPr>
                <w:rFonts w:hAnsiTheme="minorHAnsi" w:cstheme="minorHAnsi"/>
                <w:color w:val="000000"/>
                <w:sz w:val="18"/>
                <w:szCs w:val="18"/>
              </w:rPr>
              <w:t>N = 744</w:t>
            </w:r>
          </w:p>
        </w:tc>
        <w:tc>
          <w:tcPr>
            <w:tcW w:w="444" w:type="pct"/>
            <w:vAlign w:val="center"/>
          </w:tcPr>
          <w:p w14:paraId="2FB77601" w14:textId="3B1EF6B8" w:rsidR="00D80A55" w:rsidRPr="00A01261" w:rsidRDefault="00D80A55" w:rsidP="00D80A55">
            <w:pPr>
              <w:pStyle w:val="Ingetavstnd"/>
              <w:rPr>
                <w:rFonts w:hAnsiTheme="minorHAnsi" w:cstheme="minorHAnsi"/>
                <w:sz w:val="18"/>
                <w:szCs w:val="18"/>
              </w:rPr>
            </w:pPr>
            <w:r>
              <w:rPr>
                <w:rFonts w:hAnsiTheme="minorHAnsi" w:cstheme="minorHAnsi"/>
                <w:color w:val="000000"/>
                <w:sz w:val="18"/>
                <w:szCs w:val="18"/>
              </w:rPr>
              <w:t>6 months, 1 year and 2 years.</w:t>
            </w:r>
          </w:p>
        </w:tc>
        <w:tc>
          <w:tcPr>
            <w:tcW w:w="424" w:type="pct"/>
            <w:vAlign w:val="center"/>
          </w:tcPr>
          <w:p w14:paraId="2C36C507" w14:textId="5A139BC9" w:rsidR="00D80A55" w:rsidRPr="00A01261" w:rsidRDefault="00D80A55" w:rsidP="00D80A55">
            <w:pPr>
              <w:pStyle w:val="Ingetavstnd"/>
              <w:rPr>
                <w:rFonts w:hAnsiTheme="minorHAnsi" w:cstheme="minorHAnsi"/>
                <w:sz w:val="18"/>
                <w:szCs w:val="18"/>
              </w:rPr>
            </w:pPr>
            <w:r>
              <w:rPr>
                <w:rFonts w:ascii="Calibri" w:hAnsi="Calibri"/>
                <w:color w:val="000000"/>
                <w:sz w:val="18"/>
                <w:szCs w:val="18"/>
              </w:rPr>
              <w:t>Mann-Whitney U and chi-square test</w:t>
            </w:r>
          </w:p>
        </w:tc>
        <w:tc>
          <w:tcPr>
            <w:tcW w:w="932" w:type="pct"/>
            <w:vAlign w:val="center"/>
          </w:tcPr>
          <w:p w14:paraId="4C316E04" w14:textId="3D4C4DEE" w:rsidR="00D80A55" w:rsidRPr="00A01261" w:rsidRDefault="00D80A55" w:rsidP="00D80A55">
            <w:pPr>
              <w:pStyle w:val="Ingetavstnd"/>
              <w:rPr>
                <w:rFonts w:hAnsiTheme="minorHAnsi" w:cstheme="minorHAnsi"/>
                <w:sz w:val="18"/>
                <w:szCs w:val="18"/>
              </w:rPr>
            </w:pPr>
            <w:r>
              <w:rPr>
                <w:rFonts w:ascii="Calibri" w:hAnsi="Calibri"/>
                <w:color w:val="000000"/>
                <w:sz w:val="18"/>
                <w:szCs w:val="18"/>
              </w:rPr>
              <w:t>Only half the patients at six months and about two-thirds at one to two years perceived their symptoms as acceptable after ACLR. For these patients, KOOS values reflected no problems to mild problems on average, while, for patients reporting treatment failure, the KOOS values reflected moderate to severe problems.</w:t>
            </w:r>
          </w:p>
        </w:tc>
      </w:tr>
      <w:tr w:rsidR="00D80A55" w:rsidRPr="00A01261" w14:paraId="15B97CF5" w14:textId="77777777" w:rsidTr="00D80A55">
        <w:tc>
          <w:tcPr>
            <w:tcW w:w="448" w:type="pct"/>
            <w:vAlign w:val="center"/>
          </w:tcPr>
          <w:p w14:paraId="0A788D67" w14:textId="35B59E8B" w:rsidR="00D80A55" w:rsidRDefault="00D80A55" w:rsidP="00D80A55">
            <w:pPr>
              <w:pStyle w:val="Ingetavstnd"/>
              <w:rPr>
                <w:rFonts w:cstheme="minorHAnsi"/>
                <w:sz w:val="18"/>
                <w:szCs w:val="18"/>
              </w:rPr>
            </w:pPr>
            <w:proofErr w:type="spellStart"/>
            <w:r>
              <w:rPr>
                <w:rFonts w:hAnsiTheme="minorHAnsi" w:cstheme="minorHAnsi"/>
                <w:sz w:val="18"/>
                <w:szCs w:val="18"/>
              </w:rPr>
              <w:t>Ingelsrud</w:t>
            </w:r>
            <w:proofErr w:type="spellEnd"/>
            <w:r>
              <w:rPr>
                <w:rFonts w:hAnsiTheme="minorHAnsi" w:cstheme="minorHAnsi"/>
                <w:sz w:val="18"/>
                <w:szCs w:val="18"/>
              </w:rPr>
              <w:t xml:space="preserve"> et al (2018)</w:t>
            </w:r>
          </w:p>
        </w:tc>
        <w:tc>
          <w:tcPr>
            <w:tcW w:w="290" w:type="pct"/>
            <w:vAlign w:val="center"/>
          </w:tcPr>
          <w:p w14:paraId="4DD570F3" w14:textId="13901BC2" w:rsidR="00D80A55" w:rsidRDefault="00D80A55" w:rsidP="00D80A55">
            <w:pPr>
              <w:pStyle w:val="Ingetavstnd"/>
              <w:jc w:val="center"/>
              <w:rPr>
                <w:rFonts w:hAnsiTheme="minorHAnsi" w:cstheme="minorHAnsi"/>
                <w:color w:val="000000"/>
                <w:sz w:val="18"/>
                <w:szCs w:val="18"/>
              </w:rPr>
            </w:pPr>
            <w:r>
              <w:rPr>
                <w:rFonts w:hAnsiTheme="minorHAnsi" w:cstheme="minorHAnsi"/>
                <w:color w:val="000000"/>
                <w:sz w:val="18"/>
                <w:szCs w:val="18"/>
              </w:rPr>
              <w:t>Nor</w:t>
            </w:r>
          </w:p>
        </w:tc>
        <w:tc>
          <w:tcPr>
            <w:tcW w:w="260" w:type="pct"/>
            <w:vAlign w:val="center"/>
          </w:tcPr>
          <w:p w14:paraId="105AED87" w14:textId="0330D42B" w:rsidR="00D80A55" w:rsidRDefault="00D80A55" w:rsidP="00D80A55">
            <w:pPr>
              <w:jc w:val="center"/>
              <w:rPr>
                <w:rFonts w:ascii="Calibri" w:hAnsi="Calibri"/>
                <w:color w:val="000000"/>
                <w:sz w:val="18"/>
                <w:szCs w:val="18"/>
              </w:rPr>
            </w:pPr>
            <w:r>
              <w:rPr>
                <w:rFonts w:ascii="Calibri" w:hAnsi="Calibri"/>
                <w:color w:val="000000"/>
                <w:sz w:val="18"/>
                <w:szCs w:val="18"/>
              </w:rPr>
              <w:t>14</w:t>
            </w:r>
          </w:p>
        </w:tc>
        <w:tc>
          <w:tcPr>
            <w:tcW w:w="710" w:type="pct"/>
            <w:vAlign w:val="center"/>
          </w:tcPr>
          <w:p w14:paraId="0B56FFF4" w14:textId="105CF593" w:rsidR="00D80A55" w:rsidRDefault="00D80A55" w:rsidP="00D80A55">
            <w:pPr>
              <w:rPr>
                <w:rFonts w:ascii="Calibri" w:hAnsi="Calibri"/>
                <w:color w:val="000000"/>
                <w:sz w:val="18"/>
                <w:szCs w:val="18"/>
              </w:rPr>
            </w:pPr>
            <w:r>
              <w:rPr>
                <w:rFonts w:hAnsiTheme="minorHAnsi" w:cstheme="minorHAnsi"/>
                <w:sz w:val="18"/>
                <w:szCs w:val="18"/>
              </w:rPr>
              <w:t>Meaningful change scores in the knee injury and osteoarthritis outcome score in patients undergoing ACLR</w:t>
            </w:r>
          </w:p>
        </w:tc>
        <w:tc>
          <w:tcPr>
            <w:tcW w:w="477" w:type="pct"/>
            <w:vAlign w:val="center"/>
          </w:tcPr>
          <w:p w14:paraId="23A5F80D" w14:textId="5945D55A" w:rsidR="00D80A55" w:rsidRDefault="00D80A55" w:rsidP="00D80A55">
            <w:pPr>
              <w:pStyle w:val="Ingetavstnd"/>
              <w:rPr>
                <w:rFonts w:ascii="Calibri" w:hAnsi="Calibri"/>
                <w:color w:val="000000"/>
                <w:sz w:val="18"/>
                <w:szCs w:val="18"/>
              </w:rPr>
            </w:pPr>
            <w:r>
              <w:rPr>
                <w:rFonts w:hAnsiTheme="minorHAnsi" w:cstheme="minorHAnsi"/>
                <w:sz w:val="18"/>
                <w:szCs w:val="18"/>
              </w:rPr>
              <w:t>To define the minimal important change for the KOOS after ACLR</w:t>
            </w:r>
          </w:p>
        </w:tc>
        <w:tc>
          <w:tcPr>
            <w:tcW w:w="574" w:type="pct"/>
            <w:vAlign w:val="center"/>
          </w:tcPr>
          <w:p w14:paraId="3129DE58" w14:textId="6716CC70" w:rsidR="00D80A55" w:rsidRDefault="00D80A55" w:rsidP="00D80A55">
            <w:pPr>
              <w:pStyle w:val="Ingetavstnd"/>
              <w:rPr>
                <w:rFonts w:hAnsiTheme="minorHAnsi" w:cstheme="minorHAnsi"/>
                <w:color w:val="000000"/>
                <w:sz w:val="18"/>
                <w:szCs w:val="18"/>
              </w:rPr>
            </w:pPr>
            <w:r>
              <w:rPr>
                <w:rFonts w:hAnsiTheme="minorHAnsi" w:cstheme="minorHAnsi"/>
                <w:sz w:val="18"/>
                <w:szCs w:val="18"/>
              </w:rPr>
              <w:t>Change in KOOS</w:t>
            </w:r>
          </w:p>
        </w:tc>
        <w:tc>
          <w:tcPr>
            <w:tcW w:w="441" w:type="pct"/>
            <w:vAlign w:val="center"/>
          </w:tcPr>
          <w:p w14:paraId="2E43A4B8" w14:textId="70ADD05B" w:rsidR="00D80A55" w:rsidRDefault="00D80A55" w:rsidP="00D80A55">
            <w:pPr>
              <w:pStyle w:val="Ingetavstnd"/>
              <w:rPr>
                <w:rFonts w:hAnsiTheme="minorHAnsi" w:cstheme="minorHAnsi"/>
                <w:color w:val="000000"/>
                <w:sz w:val="18"/>
                <w:szCs w:val="18"/>
              </w:rPr>
            </w:pPr>
            <w:r>
              <w:rPr>
                <w:rFonts w:hAnsiTheme="minorHAnsi" w:cstheme="minorHAnsi"/>
                <w:sz w:val="18"/>
                <w:szCs w:val="18"/>
              </w:rPr>
              <w:t>Total n=542</w:t>
            </w:r>
          </w:p>
        </w:tc>
        <w:tc>
          <w:tcPr>
            <w:tcW w:w="444" w:type="pct"/>
            <w:vAlign w:val="center"/>
          </w:tcPr>
          <w:p w14:paraId="7412FD02" w14:textId="571F33EF" w:rsidR="00D80A55" w:rsidRDefault="00D80A55" w:rsidP="00D80A55">
            <w:pPr>
              <w:pStyle w:val="Ingetavstnd"/>
              <w:rPr>
                <w:rFonts w:hAnsiTheme="minorHAnsi" w:cstheme="minorHAnsi"/>
                <w:color w:val="000000"/>
                <w:sz w:val="18"/>
                <w:szCs w:val="18"/>
              </w:rPr>
            </w:pPr>
            <w:r>
              <w:rPr>
                <w:rFonts w:hAnsiTheme="minorHAnsi" w:cstheme="minorHAnsi"/>
                <w:sz w:val="18"/>
                <w:szCs w:val="18"/>
              </w:rPr>
              <w:t>6 months, 1 and 2 years</w:t>
            </w:r>
          </w:p>
        </w:tc>
        <w:tc>
          <w:tcPr>
            <w:tcW w:w="424" w:type="pct"/>
            <w:vAlign w:val="center"/>
          </w:tcPr>
          <w:p w14:paraId="17813196" w14:textId="631841D9" w:rsidR="00D80A55" w:rsidRDefault="00D80A55" w:rsidP="00D80A55">
            <w:pPr>
              <w:pStyle w:val="Ingetavstnd"/>
              <w:rPr>
                <w:rFonts w:ascii="Calibri" w:hAnsi="Calibri"/>
                <w:color w:val="000000"/>
                <w:sz w:val="18"/>
                <w:szCs w:val="18"/>
              </w:rPr>
            </w:pPr>
            <w:r>
              <w:rPr>
                <w:rFonts w:hAnsiTheme="minorHAnsi" w:cstheme="minorHAnsi"/>
                <w:sz w:val="18"/>
                <w:szCs w:val="18"/>
              </w:rPr>
              <w:t>Anchor-based MIC analyses. Predictive modeling (</w:t>
            </w:r>
            <w:proofErr w:type="spellStart"/>
            <w:r>
              <w:rPr>
                <w:rFonts w:hAnsiTheme="minorHAnsi" w:cstheme="minorHAnsi"/>
                <w:sz w:val="18"/>
                <w:szCs w:val="18"/>
              </w:rPr>
              <w:t>MIC</w:t>
            </w:r>
            <w:r>
              <w:rPr>
                <w:rFonts w:hAnsiTheme="minorHAnsi" w:cstheme="minorHAnsi"/>
                <w:sz w:val="18"/>
                <w:szCs w:val="18"/>
                <w:vertAlign w:val="subscript"/>
              </w:rPr>
              <w:t>pred</w:t>
            </w:r>
            <w:proofErr w:type="spellEnd"/>
            <w:r>
              <w:rPr>
                <w:rFonts w:hAnsiTheme="minorHAnsi" w:cstheme="minorHAnsi"/>
                <w:sz w:val="18"/>
                <w:szCs w:val="18"/>
              </w:rPr>
              <w:t>), mean change (</w:t>
            </w:r>
            <w:proofErr w:type="spellStart"/>
            <w:r>
              <w:rPr>
                <w:rFonts w:hAnsiTheme="minorHAnsi" w:cstheme="minorHAnsi"/>
                <w:sz w:val="18"/>
                <w:szCs w:val="18"/>
              </w:rPr>
              <w:t>MIC</w:t>
            </w:r>
            <w:r>
              <w:rPr>
                <w:rFonts w:hAnsiTheme="minorHAnsi" w:cstheme="minorHAnsi"/>
                <w:sz w:val="18"/>
                <w:szCs w:val="18"/>
                <w:vertAlign w:val="subscript"/>
              </w:rPr>
              <w:t>Mean</w:t>
            </w:r>
            <w:proofErr w:type="spellEnd"/>
            <w:r>
              <w:rPr>
                <w:rFonts w:hAnsiTheme="minorHAnsi" w:cstheme="minorHAnsi"/>
                <w:sz w:val="18"/>
                <w:szCs w:val="18"/>
                <w:vertAlign w:val="subscript"/>
              </w:rPr>
              <w:t>-Change</w:t>
            </w:r>
            <w:r>
              <w:rPr>
                <w:rFonts w:hAnsiTheme="minorHAnsi" w:cstheme="minorHAnsi"/>
                <w:sz w:val="18"/>
                <w:szCs w:val="18"/>
              </w:rPr>
              <w:t>), ROC method (MIC</w:t>
            </w:r>
            <w:r>
              <w:rPr>
                <w:rFonts w:hAnsiTheme="minorHAnsi" w:cstheme="minorHAnsi"/>
                <w:sz w:val="18"/>
                <w:szCs w:val="18"/>
                <w:vertAlign w:val="subscript"/>
              </w:rPr>
              <w:t>ROC</w:t>
            </w:r>
            <w:r>
              <w:rPr>
                <w:rFonts w:hAnsiTheme="minorHAnsi" w:cstheme="minorHAnsi"/>
                <w:sz w:val="18"/>
                <w:szCs w:val="18"/>
              </w:rPr>
              <w:t>)</w:t>
            </w:r>
          </w:p>
        </w:tc>
        <w:tc>
          <w:tcPr>
            <w:tcW w:w="932" w:type="pct"/>
            <w:vAlign w:val="center"/>
          </w:tcPr>
          <w:p w14:paraId="525804B5" w14:textId="34A2FC7F" w:rsidR="00D80A55" w:rsidRDefault="00D80A55" w:rsidP="00D80A55">
            <w:pPr>
              <w:pStyle w:val="Ingetavstnd"/>
              <w:rPr>
                <w:rFonts w:ascii="Calibri" w:hAnsi="Calibri"/>
                <w:color w:val="000000"/>
                <w:sz w:val="18"/>
                <w:szCs w:val="18"/>
              </w:rPr>
            </w:pPr>
            <w:proofErr w:type="spellStart"/>
            <w:r>
              <w:rPr>
                <w:rFonts w:hAnsiTheme="minorHAnsi" w:cstheme="minorHAnsi"/>
                <w:sz w:val="18"/>
                <w:szCs w:val="18"/>
              </w:rPr>
              <w:t>MIC</w:t>
            </w:r>
            <w:r>
              <w:rPr>
                <w:rFonts w:hAnsiTheme="minorHAnsi" w:cstheme="minorHAnsi"/>
                <w:sz w:val="18"/>
                <w:szCs w:val="18"/>
                <w:vertAlign w:val="subscript"/>
              </w:rPr>
              <w:t>pred</w:t>
            </w:r>
            <w:proofErr w:type="spellEnd"/>
            <w:r>
              <w:rPr>
                <w:rFonts w:hAnsiTheme="minorHAnsi" w:cstheme="minorHAnsi"/>
                <w:sz w:val="18"/>
                <w:szCs w:val="18"/>
                <w:vertAlign w:val="subscript"/>
              </w:rPr>
              <w:t xml:space="preserve"> </w:t>
            </w:r>
            <w:r>
              <w:rPr>
                <w:rFonts w:hAnsiTheme="minorHAnsi" w:cstheme="minorHAnsi"/>
                <w:sz w:val="18"/>
                <w:szCs w:val="18"/>
              </w:rPr>
              <w:t xml:space="preserve">analysis was chosen as the most robust method, which determined that 12.1 points in the KOOS sport and recreation, and 18.3 points in </w:t>
            </w:r>
            <w:proofErr w:type="spellStart"/>
            <w:r>
              <w:rPr>
                <w:rFonts w:hAnsiTheme="minorHAnsi" w:cstheme="minorHAnsi"/>
                <w:sz w:val="18"/>
                <w:szCs w:val="18"/>
              </w:rPr>
              <w:t>QoL</w:t>
            </w:r>
            <w:proofErr w:type="spellEnd"/>
            <w:r>
              <w:rPr>
                <w:rFonts w:hAnsiTheme="minorHAnsi" w:cstheme="minorHAnsi"/>
                <w:sz w:val="18"/>
                <w:szCs w:val="18"/>
              </w:rPr>
              <w:t xml:space="preserve">, were regarded as minimal important change. Only mild problems are reported in the other KOOS subscales preoperatively, resulting in much lower MIC-scores for these. Sport and recreation and </w:t>
            </w:r>
            <w:proofErr w:type="spellStart"/>
            <w:r>
              <w:rPr>
                <w:rFonts w:hAnsiTheme="minorHAnsi" w:cstheme="minorHAnsi"/>
                <w:sz w:val="18"/>
                <w:szCs w:val="18"/>
              </w:rPr>
              <w:t>QoL</w:t>
            </w:r>
            <w:proofErr w:type="spellEnd"/>
            <w:r>
              <w:rPr>
                <w:rFonts w:hAnsiTheme="minorHAnsi" w:cstheme="minorHAnsi"/>
                <w:sz w:val="18"/>
                <w:szCs w:val="18"/>
              </w:rPr>
              <w:t xml:space="preserve"> could be regarded as the primary patient-reported domains after ACLR. </w:t>
            </w:r>
          </w:p>
        </w:tc>
      </w:tr>
      <w:tr w:rsidR="00D80A55" w:rsidRPr="00A01261" w14:paraId="07F9975F" w14:textId="77777777" w:rsidTr="00D80A55">
        <w:tc>
          <w:tcPr>
            <w:tcW w:w="448" w:type="pct"/>
            <w:vAlign w:val="center"/>
          </w:tcPr>
          <w:p w14:paraId="5EB3C384" w14:textId="23444D3E" w:rsidR="00D80A55" w:rsidRPr="00A01261" w:rsidRDefault="00D80A55" w:rsidP="00D80A55">
            <w:pPr>
              <w:pStyle w:val="Ingetavstnd"/>
              <w:rPr>
                <w:rFonts w:hAnsiTheme="minorHAnsi" w:cstheme="minorHAnsi"/>
                <w:sz w:val="18"/>
                <w:szCs w:val="18"/>
              </w:rPr>
            </w:pPr>
            <w:proofErr w:type="spellStart"/>
            <w:r>
              <w:rPr>
                <w:rFonts w:hAnsiTheme="minorHAnsi" w:cstheme="minorHAnsi"/>
                <w:sz w:val="18"/>
                <w:szCs w:val="18"/>
              </w:rPr>
              <w:t>Kvist</w:t>
            </w:r>
            <w:proofErr w:type="spellEnd"/>
            <w:r>
              <w:rPr>
                <w:rFonts w:hAnsiTheme="minorHAnsi" w:cstheme="minorHAnsi"/>
                <w:sz w:val="18"/>
                <w:szCs w:val="18"/>
              </w:rPr>
              <w:t xml:space="preserve"> et al</w:t>
            </w:r>
            <w:r w:rsidRPr="00A01261">
              <w:rPr>
                <w:rFonts w:hAnsiTheme="minorHAnsi" w:cstheme="minorHAnsi"/>
                <w:sz w:val="18"/>
                <w:szCs w:val="18"/>
              </w:rPr>
              <w:t xml:space="preserve"> (2014)</w:t>
            </w:r>
          </w:p>
        </w:tc>
        <w:tc>
          <w:tcPr>
            <w:tcW w:w="290" w:type="pct"/>
            <w:vAlign w:val="center"/>
          </w:tcPr>
          <w:p w14:paraId="75C3E1CB" w14:textId="5774E7FF" w:rsidR="00D80A55" w:rsidRDefault="00D80A55" w:rsidP="00D80A55">
            <w:pPr>
              <w:pStyle w:val="Ingetavstnd"/>
              <w:jc w:val="center"/>
              <w:rPr>
                <w:rFonts w:hAnsiTheme="minorHAnsi" w:cstheme="minorHAnsi"/>
                <w:color w:val="000000"/>
                <w:sz w:val="18"/>
                <w:szCs w:val="18"/>
              </w:rPr>
            </w:pPr>
            <w:proofErr w:type="spellStart"/>
            <w:r>
              <w:rPr>
                <w:rFonts w:hAnsiTheme="minorHAnsi" w:cstheme="minorHAnsi"/>
                <w:color w:val="000000"/>
                <w:sz w:val="18"/>
                <w:szCs w:val="18"/>
              </w:rPr>
              <w:t>Swe</w:t>
            </w:r>
            <w:proofErr w:type="spellEnd"/>
          </w:p>
        </w:tc>
        <w:tc>
          <w:tcPr>
            <w:tcW w:w="260" w:type="pct"/>
            <w:vAlign w:val="center"/>
          </w:tcPr>
          <w:p w14:paraId="6E6850D8" w14:textId="4A4E552D" w:rsidR="00D80A55" w:rsidRPr="00A01261" w:rsidRDefault="00D80A55" w:rsidP="00D80A55">
            <w:pPr>
              <w:pStyle w:val="Ingetavstnd"/>
              <w:jc w:val="center"/>
              <w:rPr>
                <w:rFonts w:hAnsiTheme="minorHAnsi" w:cstheme="minorHAnsi"/>
                <w:color w:val="000000"/>
                <w:sz w:val="18"/>
                <w:szCs w:val="18"/>
              </w:rPr>
            </w:pPr>
            <w:r>
              <w:rPr>
                <w:rFonts w:hAnsiTheme="minorHAnsi" w:cstheme="minorHAnsi"/>
                <w:color w:val="000000"/>
                <w:sz w:val="18"/>
                <w:szCs w:val="18"/>
              </w:rPr>
              <w:t>12</w:t>
            </w:r>
          </w:p>
        </w:tc>
        <w:tc>
          <w:tcPr>
            <w:tcW w:w="710" w:type="pct"/>
            <w:vAlign w:val="center"/>
          </w:tcPr>
          <w:p w14:paraId="31607A71" w14:textId="6045BCC9" w:rsidR="00D80A55" w:rsidRPr="00A01261" w:rsidRDefault="00D80A55" w:rsidP="00D80A55">
            <w:pPr>
              <w:pStyle w:val="Ingetavstnd"/>
              <w:rPr>
                <w:rFonts w:hAnsiTheme="minorHAnsi" w:cstheme="minorHAnsi"/>
                <w:sz w:val="18"/>
                <w:szCs w:val="18"/>
              </w:rPr>
            </w:pPr>
            <w:r w:rsidRPr="00A01261">
              <w:rPr>
                <w:rFonts w:hAnsiTheme="minorHAnsi" w:cstheme="minorHAnsi"/>
                <w:color w:val="000000"/>
                <w:sz w:val="18"/>
                <w:szCs w:val="18"/>
              </w:rPr>
              <w:t>Results From the Swedish National Anterior Cruciate Ligament Register</w:t>
            </w:r>
          </w:p>
        </w:tc>
        <w:tc>
          <w:tcPr>
            <w:tcW w:w="477" w:type="pct"/>
            <w:vAlign w:val="center"/>
          </w:tcPr>
          <w:p w14:paraId="5D461292" w14:textId="1531E5C1" w:rsidR="00D80A55" w:rsidRPr="00A01261" w:rsidRDefault="00D80A55" w:rsidP="00D80A55">
            <w:pPr>
              <w:pStyle w:val="Ingetavstnd"/>
              <w:rPr>
                <w:rFonts w:hAnsiTheme="minorHAnsi" w:cstheme="minorHAnsi"/>
                <w:sz w:val="18"/>
                <w:szCs w:val="18"/>
              </w:rPr>
            </w:pPr>
            <w:r w:rsidRPr="00A01261">
              <w:rPr>
                <w:rFonts w:hAnsiTheme="minorHAnsi" w:cstheme="minorHAnsi"/>
                <w:color w:val="000000"/>
                <w:sz w:val="18"/>
                <w:szCs w:val="18"/>
              </w:rPr>
              <w:t xml:space="preserve">To </w:t>
            </w:r>
            <w:proofErr w:type="spellStart"/>
            <w:r w:rsidRPr="00A01261">
              <w:rPr>
                <w:rFonts w:hAnsiTheme="minorHAnsi" w:cstheme="minorHAnsi"/>
                <w:color w:val="000000"/>
                <w:sz w:val="18"/>
                <w:szCs w:val="18"/>
              </w:rPr>
              <w:t>analy</w:t>
            </w:r>
            <w:r>
              <w:rPr>
                <w:rFonts w:hAnsiTheme="minorHAnsi" w:cstheme="minorHAnsi"/>
                <w:color w:val="000000"/>
                <w:sz w:val="18"/>
                <w:szCs w:val="18"/>
              </w:rPr>
              <w:t>s</w:t>
            </w:r>
            <w:r w:rsidRPr="00A01261">
              <w:rPr>
                <w:rFonts w:hAnsiTheme="minorHAnsi" w:cstheme="minorHAnsi"/>
                <w:color w:val="000000"/>
                <w:sz w:val="18"/>
                <w:szCs w:val="18"/>
              </w:rPr>
              <w:t>e</w:t>
            </w:r>
            <w:proofErr w:type="spellEnd"/>
            <w:r w:rsidRPr="00A01261">
              <w:rPr>
                <w:rFonts w:hAnsiTheme="minorHAnsi" w:cstheme="minorHAnsi"/>
                <w:color w:val="000000"/>
                <w:sz w:val="18"/>
                <w:szCs w:val="18"/>
              </w:rPr>
              <w:t xml:space="preserve"> the baseline variables and clinical outcomes in </w:t>
            </w:r>
            <w:r>
              <w:rPr>
                <w:rFonts w:hAnsiTheme="minorHAnsi" w:cstheme="minorHAnsi"/>
                <w:color w:val="000000"/>
                <w:sz w:val="18"/>
                <w:szCs w:val="18"/>
              </w:rPr>
              <w:t xml:space="preserve">the </w:t>
            </w:r>
            <w:r w:rsidRPr="00A01261">
              <w:rPr>
                <w:rFonts w:hAnsiTheme="minorHAnsi" w:cstheme="minorHAnsi"/>
                <w:color w:val="000000"/>
                <w:sz w:val="18"/>
                <w:szCs w:val="18"/>
              </w:rPr>
              <w:t>SNKLR</w:t>
            </w:r>
          </w:p>
        </w:tc>
        <w:tc>
          <w:tcPr>
            <w:tcW w:w="574" w:type="pct"/>
            <w:vAlign w:val="center"/>
          </w:tcPr>
          <w:p w14:paraId="64435CDA" w14:textId="3647E352" w:rsidR="00D80A55" w:rsidRPr="00A01261" w:rsidRDefault="00D80A55" w:rsidP="00D80A55">
            <w:pPr>
              <w:pStyle w:val="Ingetavstnd"/>
              <w:rPr>
                <w:rFonts w:hAnsiTheme="minorHAnsi" w:cstheme="minorHAnsi"/>
                <w:sz w:val="18"/>
                <w:szCs w:val="18"/>
              </w:rPr>
            </w:pPr>
            <w:r w:rsidRPr="00A01261">
              <w:rPr>
                <w:rFonts w:hAnsiTheme="minorHAnsi" w:cstheme="minorHAnsi"/>
                <w:color w:val="000000"/>
                <w:sz w:val="18"/>
                <w:szCs w:val="18"/>
              </w:rPr>
              <w:t xml:space="preserve">Not specified. </w:t>
            </w:r>
            <w:r>
              <w:rPr>
                <w:rFonts w:hAnsiTheme="minorHAnsi" w:cstheme="minorHAnsi"/>
                <w:color w:val="000000"/>
                <w:sz w:val="18"/>
                <w:szCs w:val="18"/>
              </w:rPr>
              <w:t xml:space="preserve">The </w:t>
            </w:r>
            <w:r w:rsidRPr="00A01261">
              <w:rPr>
                <w:rFonts w:hAnsiTheme="minorHAnsi" w:cstheme="minorHAnsi"/>
                <w:color w:val="000000"/>
                <w:sz w:val="18"/>
                <w:szCs w:val="18"/>
              </w:rPr>
              <w:t xml:space="preserve">KOOS is part of several of the analyses. </w:t>
            </w:r>
          </w:p>
        </w:tc>
        <w:tc>
          <w:tcPr>
            <w:tcW w:w="441" w:type="pct"/>
            <w:vAlign w:val="center"/>
          </w:tcPr>
          <w:p w14:paraId="7EE8A231" w14:textId="77777777" w:rsidR="00D80A55" w:rsidRDefault="00D80A55" w:rsidP="00D80A55">
            <w:pPr>
              <w:pStyle w:val="Ingetavstnd"/>
              <w:rPr>
                <w:rFonts w:hAnsiTheme="minorHAnsi" w:cstheme="minorHAnsi"/>
                <w:color w:val="000000"/>
                <w:sz w:val="18"/>
                <w:szCs w:val="18"/>
              </w:rPr>
            </w:pPr>
            <w:r>
              <w:rPr>
                <w:rFonts w:hAnsiTheme="minorHAnsi" w:cstheme="minorHAnsi"/>
                <w:color w:val="000000"/>
                <w:sz w:val="18"/>
                <w:szCs w:val="18"/>
              </w:rPr>
              <w:t xml:space="preserve">N = </w:t>
            </w:r>
            <w:r w:rsidRPr="00A01261">
              <w:rPr>
                <w:rFonts w:hAnsiTheme="minorHAnsi" w:cstheme="minorHAnsi"/>
                <w:color w:val="000000"/>
                <w:sz w:val="18"/>
                <w:szCs w:val="18"/>
              </w:rPr>
              <w:t xml:space="preserve">23,744 </w:t>
            </w:r>
          </w:p>
          <w:p w14:paraId="074E1408" w14:textId="3DA33719" w:rsidR="00D80A55" w:rsidRPr="00A01261" w:rsidRDefault="00D80A55" w:rsidP="00D80A55">
            <w:pPr>
              <w:pStyle w:val="Ingetavstnd"/>
              <w:rPr>
                <w:rFonts w:hAnsiTheme="minorHAnsi" w:cstheme="minorHAnsi"/>
                <w:sz w:val="18"/>
                <w:szCs w:val="18"/>
              </w:rPr>
            </w:pPr>
            <w:r>
              <w:rPr>
                <w:rFonts w:hAnsiTheme="minorHAnsi" w:cstheme="minorHAnsi"/>
                <w:color w:val="000000"/>
                <w:sz w:val="18"/>
                <w:szCs w:val="18"/>
              </w:rPr>
              <w:t>F</w:t>
            </w:r>
            <w:r w:rsidRPr="00A01261">
              <w:rPr>
                <w:rFonts w:hAnsiTheme="minorHAnsi" w:cstheme="minorHAnsi"/>
                <w:color w:val="000000"/>
                <w:sz w:val="18"/>
                <w:szCs w:val="18"/>
              </w:rPr>
              <w:t>emale</w:t>
            </w:r>
            <w:r>
              <w:rPr>
                <w:rFonts w:hAnsiTheme="minorHAnsi" w:cstheme="minorHAnsi"/>
                <w:color w:val="000000"/>
                <w:sz w:val="18"/>
                <w:szCs w:val="18"/>
              </w:rPr>
              <w:t>s:</w:t>
            </w:r>
            <w:r w:rsidRPr="00A01261">
              <w:rPr>
                <w:rFonts w:hAnsiTheme="minorHAnsi" w:cstheme="minorHAnsi"/>
                <w:color w:val="000000"/>
                <w:sz w:val="18"/>
                <w:szCs w:val="18"/>
              </w:rPr>
              <w:t xml:space="preserve"> 42</w:t>
            </w:r>
            <w:r>
              <w:rPr>
                <w:rFonts w:hAnsiTheme="minorHAnsi" w:cstheme="minorHAnsi"/>
                <w:color w:val="000000"/>
                <w:sz w:val="18"/>
                <w:szCs w:val="18"/>
              </w:rPr>
              <w:t>%</w:t>
            </w:r>
          </w:p>
        </w:tc>
        <w:tc>
          <w:tcPr>
            <w:tcW w:w="444" w:type="pct"/>
            <w:vAlign w:val="center"/>
          </w:tcPr>
          <w:p w14:paraId="59631B8C" w14:textId="4F77DBD4" w:rsidR="00D80A55" w:rsidRPr="00A01261" w:rsidRDefault="00D80A55" w:rsidP="00D80A55">
            <w:pPr>
              <w:pStyle w:val="Ingetavstnd"/>
              <w:rPr>
                <w:rFonts w:hAnsiTheme="minorHAnsi" w:cstheme="minorHAnsi"/>
                <w:sz w:val="18"/>
                <w:szCs w:val="18"/>
              </w:rPr>
            </w:pPr>
            <w:r w:rsidRPr="00A01261">
              <w:rPr>
                <w:rFonts w:hAnsiTheme="minorHAnsi" w:cstheme="minorHAnsi"/>
                <w:color w:val="000000"/>
                <w:sz w:val="18"/>
                <w:szCs w:val="18"/>
              </w:rPr>
              <w:t xml:space="preserve">Preoperative to </w:t>
            </w:r>
            <w:r>
              <w:rPr>
                <w:rFonts w:hAnsiTheme="minorHAnsi" w:cstheme="minorHAnsi"/>
                <w:color w:val="000000"/>
                <w:sz w:val="18"/>
                <w:szCs w:val="18"/>
              </w:rPr>
              <w:t xml:space="preserve">5 </w:t>
            </w:r>
            <w:r w:rsidRPr="00A01261">
              <w:rPr>
                <w:rFonts w:hAnsiTheme="minorHAnsi" w:cstheme="minorHAnsi"/>
                <w:color w:val="000000"/>
                <w:sz w:val="18"/>
                <w:szCs w:val="18"/>
              </w:rPr>
              <w:t>years KOOS and EQ</w:t>
            </w:r>
            <w:r>
              <w:rPr>
                <w:rFonts w:hAnsiTheme="minorHAnsi" w:cstheme="minorHAnsi"/>
                <w:color w:val="000000"/>
                <w:sz w:val="18"/>
                <w:szCs w:val="18"/>
              </w:rPr>
              <w:t>-</w:t>
            </w:r>
            <w:r w:rsidRPr="00A01261">
              <w:rPr>
                <w:rFonts w:hAnsiTheme="minorHAnsi" w:cstheme="minorHAnsi"/>
                <w:color w:val="000000"/>
                <w:sz w:val="18"/>
                <w:szCs w:val="18"/>
              </w:rPr>
              <w:t xml:space="preserve">5D. </w:t>
            </w:r>
          </w:p>
        </w:tc>
        <w:tc>
          <w:tcPr>
            <w:tcW w:w="424" w:type="pct"/>
            <w:vAlign w:val="center"/>
          </w:tcPr>
          <w:p w14:paraId="4A249CE1" w14:textId="55578D18" w:rsidR="00D80A55" w:rsidRPr="00A01261" w:rsidRDefault="00D80A55" w:rsidP="00D80A55">
            <w:pPr>
              <w:pStyle w:val="Ingetavstnd"/>
              <w:rPr>
                <w:rFonts w:hAnsiTheme="minorHAnsi" w:cstheme="minorHAnsi"/>
                <w:sz w:val="18"/>
                <w:szCs w:val="18"/>
              </w:rPr>
            </w:pPr>
            <w:r>
              <w:rPr>
                <w:rFonts w:hAnsiTheme="minorHAnsi" w:cstheme="minorHAnsi"/>
                <w:color w:val="000000"/>
                <w:sz w:val="18"/>
                <w:szCs w:val="18"/>
              </w:rPr>
              <w:t>One</w:t>
            </w:r>
            <w:r w:rsidRPr="00A01261">
              <w:rPr>
                <w:rFonts w:hAnsiTheme="minorHAnsi" w:cstheme="minorHAnsi"/>
                <w:color w:val="000000"/>
                <w:sz w:val="18"/>
                <w:szCs w:val="18"/>
              </w:rPr>
              <w:t>-way analysis of variance with Bonferroni post</w:t>
            </w:r>
            <w:r>
              <w:rPr>
                <w:rFonts w:hAnsiTheme="minorHAnsi" w:cstheme="minorHAnsi"/>
                <w:color w:val="000000"/>
                <w:sz w:val="18"/>
                <w:szCs w:val="18"/>
              </w:rPr>
              <w:t>-</w:t>
            </w:r>
            <w:r w:rsidRPr="00A01261">
              <w:rPr>
                <w:rFonts w:hAnsiTheme="minorHAnsi" w:cstheme="minorHAnsi"/>
                <w:color w:val="000000"/>
                <w:sz w:val="18"/>
                <w:szCs w:val="18"/>
              </w:rPr>
              <w:t xml:space="preserve">hoc test </w:t>
            </w:r>
          </w:p>
        </w:tc>
        <w:tc>
          <w:tcPr>
            <w:tcW w:w="932" w:type="pct"/>
            <w:vAlign w:val="center"/>
          </w:tcPr>
          <w:p w14:paraId="79A34777" w14:textId="1ACCB54D" w:rsidR="00D80A55" w:rsidRPr="00A01261" w:rsidRDefault="00D80A55" w:rsidP="00D80A55">
            <w:pPr>
              <w:pStyle w:val="Ingetavstnd"/>
              <w:rPr>
                <w:rFonts w:hAnsiTheme="minorHAnsi" w:cstheme="minorHAnsi"/>
                <w:sz w:val="18"/>
                <w:szCs w:val="18"/>
              </w:rPr>
            </w:pPr>
            <w:r w:rsidRPr="00A01261">
              <w:rPr>
                <w:rFonts w:hAnsiTheme="minorHAnsi" w:cstheme="minorHAnsi"/>
                <w:color w:val="000000"/>
                <w:sz w:val="18"/>
                <w:szCs w:val="18"/>
              </w:rPr>
              <w:t xml:space="preserve">Patients undergoing revisions fare less well than those undergoing primary unilateral ACL reconstructions, as well as bilateral reconstructions. The cumulative risk of an ACL revision or contralateral ACL reconstruction during a </w:t>
            </w:r>
            <w:r>
              <w:rPr>
                <w:rFonts w:hAnsiTheme="minorHAnsi" w:cstheme="minorHAnsi"/>
                <w:color w:val="000000"/>
                <w:sz w:val="18"/>
                <w:szCs w:val="18"/>
              </w:rPr>
              <w:t>five</w:t>
            </w:r>
            <w:r w:rsidRPr="00A01261">
              <w:rPr>
                <w:rFonts w:hAnsiTheme="minorHAnsi" w:cstheme="minorHAnsi"/>
                <w:color w:val="000000"/>
                <w:sz w:val="18"/>
                <w:szCs w:val="18"/>
              </w:rPr>
              <w:t xml:space="preserve">-year period is approximately 7%. For patients aged </w:t>
            </w:r>
            <w:r>
              <w:rPr>
                <w:rFonts w:hAnsiTheme="minorHAnsi" w:cstheme="minorHAnsi"/>
                <w:color w:val="000000"/>
                <w:sz w:val="18"/>
                <w:szCs w:val="18"/>
              </w:rPr>
              <w:t>less</w:t>
            </w:r>
            <w:r w:rsidRPr="00A01261">
              <w:rPr>
                <w:rFonts w:hAnsiTheme="minorHAnsi" w:cstheme="minorHAnsi"/>
                <w:color w:val="000000"/>
                <w:sz w:val="18"/>
                <w:szCs w:val="18"/>
              </w:rPr>
              <w:t xml:space="preserve"> than 19 years, the cumulative risk is significantly higher.</w:t>
            </w:r>
          </w:p>
        </w:tc>
      </w:tr>
      <w:tr w:rsidR="00D80A55" w:rsidRPr="00A01261" w14:paraId="286D124B" w14:textId="77777777" w:rsidTr="00D80A55">
        <w:tc>
          <w:tcPr>
            <w:tcW w:w="448" w:type="pct"/>
            <w:vAlign w:val="center"/>
          </w:tcPr>
          <w:p w14:paraId="4797A34B" w14:textId="1B3CE7FF" w:rsidR="00D80A55" w:rsidRPr="00A01261" w:rsidRDefault="00D80A55" w:rsidP="00D80A55">
            <w:pPr>
              <w:pStyle w:val="Ingetavstnd"/>
              <w:rPr>
                <w:rFonts w:hAnsiTheme="minorHAnsi" w:cstheme="minorHAnsi"/>
                <w:sz w:val="18"/>
                <w:szCs w:val="18"/>
              </w:rPr>
            </w:pPr>
            <w:proofErr w:type="spellStart"/>
            <w:r>
              <w:rPr>
                <w:rFonts w:cstheme="minorHAnsi"/>
                <w:sz w:val="18"/>
                <w:szCs w:val="18"/>
              </w:rPr>
              <w:t>LaPrade</w:t>
            </w:r>
            <w:proofErr w:type="spellEnd"/>
            <w:r>
              <w:rPr>
                <w:rFonts w:cstheme="minorHAnsi"/>
                <w:sz w:val="18"/>
                <w:szCs w:val="18"/>
              </w:rPr>
              <w:t xml:space="preserve"> et al (2015)</w:t>
            </w:r>
          </w:p>
        </w:tc>
        <w:tc>
          <w:tcPr>
            <w:tcW w:w="290" w:type="pct"/>
            <w:vAlign w:val="center"/>
          </w:tcPr>
          <w:p w14:paraId="5E6B87E7" w14:textId="3AFEEEDD" w:rsidR="00D80A55" w:rsidRPr="00A01261" w:rsidRDefault="00D80A55" w:rsidP="00D80A55">
            <w:pPr>
              <w:pStyle w:val="Ingetavstnd"/>
              <w:jc w:val="center"/>
              <w:rPr>
                <w:rFonts w:hAnsiTheme="minorHAnsi" w:cstheme="minorHAnsi"/>
                <w:color w:val="000000"/>
                <w:sz w:val="18"/>
                <w:szCs w:val="18"/>
              </w:rPr>
            </w:pPr>
            <w:r>
              <w:rPr>
                <w:rFonts w:hAnsiTheme="minorHAnsi" w:cstheme="minorHAnsi"/>
                <w:color w:val="000000"/>
                <w:sz w:val="18"/>
                <w:szCs w:val="18"/>
              </w:rPr>
              <w:t>Nor</w:t>
            </w:r>
          </w:p>
        </w:tc>
        <w:tc>
          <w:tcPr>
            <w:tcW w:w="260" w:type="pct"/>
            <w:vAlign w:val="center"/>
          </w:tcPr>
          <w:p w14:paraId="18AF3844" w14:textId="123980DE" w:rsidR="00D80A55" w:rsidRDefault="00D80A55" w:rsidP="00D80A55">
            <w:pPr>
              <w:jc w:val="center"/>
              <w:rPr>
                <w:rFonts w:ascii="Calibri" w:hAnsi="Calibri"/>
                <w:color w:val="000000"/>
                <w:sz w:val="18"/>
                <w:szCs w:val="18"/>
              </w:rPr>
            </w:pPr>
            <w:r>
              <w:rPr>
                <w:rFonts w:ascii="Calibri" w:hAnsi="Calibri"/>
                <w:color w:val="000000"/>
                <w:sz w:val="18"/>
                <w:szCs w:val="18"/>
              </w:rPr>
              <w:t>20</w:t>
            </w:r>
          </w:p>
        </w:tc>
        <w:tc>
          <w:tcPr>
            <w:tcW w:w="710" w:type="pct"/>
            <w:vAlign w:val="center"/>
          </w:tcPr>
          <w:p w14:paraId="3A540DCF" w14:textId="32F268E7" w:rsidR="00D80A55" w:rsidRDefault="00D80A55" w:rsidP="00D80A55">
            <w:pPr>
              <w:rPr>
                <w:rFonts w:ascii="Calibri" w:hAnsi="Calibri"/>
                <w:color w:val="000000"/>
                <w:sz w:val="18"/>
                <w:szCs w:val="18"/>
              </w:rPr>
            </w:pPr>
            <w:r>
              <w:rPr>
                <w:rFonts w:ascii="Calibri" w:hAnsi="Calibri"/>
                <w:color w:val="000000"/>
                <w:sz w:val="18"/>
                <w:szCs w:val="18"/>
              </w:rPr>
              <w:t xml:space="preserve">Outcomes After ACL Reconstruction Using the Norwegian Knee Ligament Registry of </w:t>
            </w:r>
            <w:r>
              <w:rPr>
                <w:rFonts w:ascii="Calibri" w:hAnsi="Calibri"/>
                <w:color w:val="000000"/>
                <w:sz w:val="18"/>
                <w:szCs w:val="18"/>
              </w:rPr>
              <w:lastRenderedPageBreak/>
              <w:t>4691 Patients – How Does Meniscal Repair or Resection Affect Short-term Outcomes?</w:t>
            </w:r>
          </w:p>
          <w:p w14:paraId="1F6059B4" w14:textId="0C78233D" w:rsidR="00D80A55" w:rsidRPr="00A01261" w:rsidRDefault="00D80A55" w:rsidP="00D80A55">
            <w:pPr>
              <w:pStyle w:val="Ingetavstnd"/>
              <w:rPr>
                <w:rFonts w:hAnsiTheme="minorHAnsi" w:cstheme="minorHAnsi"/>
                <w:sz w:val="18"/>
                <w:szCs w:val="18"/>
              </w:rPr>
            </w:pPr>
          </w:p>
        </w:tc>
        <w:tc>
          <w:tcPr>
            <w:tcW w:w="477" w:type="pct"/>
            <w:vAlign w:val="center"/>
          </w:tcPr>
          <w:p w14:paraId="45A298F0" w14:textId="77777777" w:rsidR="00D80A55" w:rsidRDefault="00D80A55" w:rsidP="00D80A55">
            <w:pPr>
              <w:rPr>
                <w:rFonts w:ascii="Calibri" w:hAnsi="Calibri"/>
                <w:color w:val="000000"/>
                <w:sz w:val="18"/>
                <w:szCs w:val="18"/>
              </w:rPr>
            </w:pPr>
            <w:r>
              <w:rPr>
                <w:rFonts w:ascii="Calibri" w:hAnsi="Calibri"/>
                <w:color w:val="000000"/>
                <w:sz w:val="18"/>
                <w:szCs w:val="18"/>
              </w:rPr>
              <w:lastRenderedPageBreak/>
              <w:t xml:space="preserve">To compare the preoperative and two-year </w:t>
            </w:r>
            <w:r>
              <w:rPr>
                <w:rFonts w:ascii="Calibri" w:hAnsi="Calibri"/>
                <w:color w:val="000000"/>
                <w:sz w:val="18"/>
                <w:szCs w:val="18"/>
              </w:rPr>
              <w:lastRenderedPageBreak/>
              <w:t>postoperative KOOS subscale scores after ACLR with and without meniscal injury</w:t>
            </w:r>
          </w:p>
          <w:p w14:paraId="4E5DFF9E" w14:textId="527C7A99" w:rsidR="00D80A55" w:rsidRPr="00A01261" w:rsidRDefault="00D80A55" w:rsidP="00D80A55">
            <w:pPr>
              <w:pStyle w:val="Ingetavstnd"/>
              <w:rPr>
                <w:rFonts w:hAnsiTheme="minorHAnsi" w:cstheme="minorHAnsi"/>
                <w:sz w:val="18"/>
                <w:szCs w:val="18"/>
              </w:rPr>
            </w:pPr>
          </w:p>
        </w:tc>
        <w:tc>
          <w:tcPr>
            <w:tcW w:w="574" w:type="pct"/>
            <w:vAlign w:val="center"/>
          </w:tcPr>
          <w:p w14:paraId="07243734" w14:textId="09D207C2" w:rsidR="00D80A55" w:rsidRPr="00A01261" w:rsidRDefault="00D80A55" w:rsidP="00D80A55">
            <w:pPr>
              <w:pStyle w:val="Ingetavstnd"/>
              <w:rPr>
                <w:rFonts w:hAnsiTheme="minorHAnsi" w:cstheme="minorHAnsi"/>
                <w:sz w:val="18"/>
                <w:szCs w:val="18"/>
              </w:rPr>
            </w:pPr>
            <w:r>
              <w:rPr>
                <w:rFonts w:hAnsiTheme="minorHAnsi" w:cstheme="minorHAnsi"/>
                <w:color w:val="000000"/>
                <w:sz w:val="18"/>
                <w:szCs w:val="18"/>
              </w:rPr>
              <w:lastRenderedPageBreak/>
              <w:t>KOOS</w:t>
            </w:r>
          </w:p>
        </w:tc>
        <w:tc>
          <w:tcPr>
            <w:tcW w:w="441" w:type="pct"/>
            <w:vAlign w:val="center"/>
          </w:tcPr>
          <w:p w14:paraId="13668176" w14:textId="5980456A" w:rsidR="00D80A55" w:rsidRPr="00A01261" w:rsidRDefault="00D80A55" w:rsidP="00D80A55">
            <w:pPr>
              <w:pStyle w:val="Ingetavstnd"/>
              <w:rPr>
                <w:rFonts w:hAnsiTheme="minorHAnsi" w:cstheme="minorHAnsi"/>
                <w:sz w:val="18"/>
                <w:szCs w:val="18"/>
              </w:rPr>
            </w:pPr>
            <w:r>
              <w:rPr>
                <w:rFonts w:hAnsiTheme="minorHAnsi" w:cstheme="minorHAnsi"/>
                <w:color w:val="000000"/>
                <w:sz w:val="18"/>
                <w:szCs w:val="18"/>
              </w:rPr>
              <w:t>N = 4,691</w:t>
            </w:r>
          </w:p>
        </w:tc>
        <w:tc>
          <w:tcPr>
            <w:tcW w:w="444" w:type="pct"/>
            <w:vAlign w:val="center"/>
          </w:tcPr>
          <w:p w14:paraId="5E814EDA" w14:textId="2A01256A" w:rsidR="00D80A55" w:rsidRPr="00A01261" w:rsidRDefault="00D80A55" w:rsidP="00D80A55">
            <w:pPr>
              <w:pStyle w:val="Ingetavstnd"/>
              <w:rPr>
                <w:rFonts w:hAnsiTheme="minorHAnsi" w:cstheme="minorHAnsi"/>
                <w:sz w:val="18"/>
                <w:szCs w:val="18"/>
              </w:rPr>
            </w:pPr>
            <w:r>
              <w:rPr>
                <w:rFonts w:hAnsiTheme="minorHAnsi" w:cstheme="minorHAnsi"/>
                <w:color w:val="000000"/>
                <w:sz w:val="18"/>
                <w:szCs w:val="18"/>
              </w:rPr>
              <w:t>2 years</w:t>
            </w:r>
          </w:p>
        </w:tc>
        <w:tc>
          <w:tcPr>
            <w:tcW w:w="424" w:type="pct"/>
            <w:vAlign w:val="center"/>
          </w:tcPr>
          <w:p w14:paraId="2B088D4B" w14:textId="77777777" w:rsidR="00D80A55" w:rsidRDefault="00D80A55" w:rsidP="00D80A55">
            <w:pPr>
              <w:rPr>
                <w:rFonts w:ascii="Calibri" w:hAnsi="Calibri"/>
                <w:color w:val="000000"/>
                <w:sz w:val="18"/>
                <w:szCs w:val="18"/>
              </w:rPr>
            </w:pPr>
            <w:r>
              <w:rPr>
                <w:rFonts w:ascii="Calibri" w:hAnsi="Calibri"/>
                <w:color w:val="000000"/>
                <w:sz w:val="18"/>
                <w:szCs w:val="18"/>
              </w:rPr>
              <w:t xml:space="preserve">Independent t test, Mann-Whitney U test, Fisher’s </w:t>
            </w:r>
            <w:r>
              <w:rPr>
                <w:rFonts w:ascii="Calibri" w:hAnsi="Calibri"/>
                <w:color w:val="000000"/>
                <w:sz w:val="18"/>
                <w:szCs w:val="18"/>
              </w:rPr>
              <w:lastRenderedPageBreak/>
              <w:t xml:space="preserve">exact test and chi-square test were used. Multiple linear regression model. </w:t>
            </w:r>
          </w:p>
          <w:p w14:paraId="21BAE9DF" w14:textId="27E63922" w:rsidR="00D80A55" w:rsidRPr="00A01261" w:rsidRDefault="00D80A55" w:rsidP="00D80A55">
            <w:pPr>
              <w:pStyle w:val="Ingetavstnd"/>
              <w:rPr>
                <w:rFonts w:hAnsiTheme="minorHAnsi" w:cstheme="minorHAnsi"/>
                <w:sz w:val="18"/>
                <w:szCs w:val="18"/>
              </w:rPr>
            </w:pPr>
          </w:p>
        </w:tc>
        <w:tc>
          <w:tcPr>
            <w:tcW w:w="932" w:type="pct"/>
            <w:vAlign w:val="center"/>
          </w:tcPr>
          <w:p w14:paraId="1AAAE056" w14:textId="02213125" w:rsidR="00D80A55" w:rsidRPr="00A01261" w:rsidRDefault="00D80A55" w:rsidP="00D80A55">
            <w:pPr>
              <w:pStyle w:val="Ingetavstnd"/>
              <w:rPr>
                <w:rFonts w:hAnsiTheme="minorHAnsi" w:cstheme="minorHAnsi"/>
                <w:sz w:val="18"/>
                <w:szCs w:val="18"/>
              </w:rPr>
            </w:pPr>
            <w:r>
              <w:rPr>
                <w:rFonts w:ascii="Calibri" w:hAnsi="Calibri"/>
                <w:color w:val="000000"/>
                <w:sz w:val="18"/>
                <w:szCs w:val="18"/>
              </w:rPr>
              <w:lastRenderedPageBreak/>
              <w:t xml:space="preserve">The two-year postoperative outcomes in patients with an LM repair, MM resection, or LM resection were not significantly </w:t>
            </w:r>
            <w:r>
              <w:rPr>
                <w:rFonts w:ascii="Calibri" w:hAnsi="Calibri"/>
                <w:color w:val="000000"/>
                <w:sz w:val="18"/>
                <w:szCs w:val="18"/>
              </w:rPr>
              <w:lastRenderedPageBreak/>
              <w:t>different from an isolated ACLR for any of the KOOS subscales. Similar results were seen for patients in the MM repair group in comparison to an isolated ACLR on the Pain, ADL and Sport/Rec subscales; however, the results after an MM repair were significantly decreased for the Other Symptoms and QoL KOOS subscale scores.</w:t>
            </w:r>
          </w:p>
        </w:tc>
      </w:tr>
      <w:tr w:rsidR="00D80A55" w:rsidRPr="00A01261" w14:paraId="4B277DAB" w14:textId="77777777" w:rsidTr="00D80A55">
        <w:tc>
          <w:tcPr>
            <w:tcW w:w="448" w:type="pct"/>
            <w:vAlign w:val="center"/>
          </w:tcPr>
          <w:p w14:paraId="5952B167" w14:textId="06C172FA" w:rsidR="00D80A55" w:rsidRPr="00A01261" w:rsidRDefault="00D80A55" w:rsidP="00D80A55">
            <w:pPr>
              <w:pStyle w:val="Ingetavstnd"/>
              <w:rPr>
                <w:rFonts w:hAnsiTheme="minorHAnsi" w:cstheme="minorHAnsi"/>
                <w:sz w:val="18"/>
                <w:szCs w:val="18"/>
              </w:rPr>
            </w:pPr>
            <w:r>
              <w:rPr>
                <w:rFonts w:hAnsiTheme="minorHAnsi" w:cstheme="minorHAnsi"/>
                <w:sz w:val="18"/>
                <w:szCs w:val="18"/>
              </w:rPr>
              <w:lastRenderedPageBreak/>
              <w:t xml:space="preserve">Lind et al </w:t>
            </w:r>
            <w:r w:rsidRPr="00A01261">
              <w:rPr>
                <w:rFonts w:hAnsiTheme="minorHAnsi" w:cstheme="minorHAnsi"/>
                <w:sz w:val="18"/>
                <w:szCs w:val="18"/>
              </w:rPr>
              <w:t>(2009)</w:t>
            </w:r>
          </w:p>
        </w:tc>
        <w:tc>
          <w:tcPr>
            <w:tcW w:w="290" w:type="pct"/>
            <w:vAlign w:val="center"/>
          </w:tcPr>
          <w:p w14:paraId="476EC406" w14:textId="3F99346E" w:rsidR="00D80A55" w:rsidRDefault="00D80A55" w:rsidP="00D80A55">
            <w:pPr>
              <w:pStyle w:val="Ingetavstnd"/>
              <w:jc w:val="center"/>
              <w:rPr>
                <w:rFonts w:hAnsiTheme="minorHAnsi" w:cstheme="minorHAnsi"/>
                <w:color w:val="000000"/>
                <w:sz w:val="18"/>
                <w:szCs w:val="18"/>
              </w:rPr>
            </w:pPr>
            <w:r>
              <w:rPr>
                <w:rFonts w:hAnsiTheme="minorHAnsi" w:cstheme="minorHAnsi"/>
                <w:color w:val="000000"/>
                <w:sz w:val="18"/>
                <w:szCs w:val="18"/>
              </w:rPr>
              <w:t>Den</w:t>
            </w:r>
          </w:p>
        </w:tc>
        <w:tc>
          <w:tcPr>
            <w:tcW w:w="260" w:type="pct"/>
            <w:vAlign w:val="center"/>
          </w:tcPr>
          <w:p w14:paraId="61BC7920" w14:textId="43117B59" w:rsidR="00D80A55" w:rsidRPr="00A01261" w:rsidRDefault="00D80A55" w:rsidP="00D80A55">
            <w:pPr>
              <w:pStyle w:val="Ingetavstnd"/>
              <w:jc w:val="center"/>
              <w:rPr>
                <w:rFonts w:hAnsiTheme="minorHAnsi" w:cstheme="minorHAnsi"/>
                <w:color w:val="000000"/>
                <w:sz w:val="18"/>
                <w:szCs w:val="18"/>
              </w:rPr>
            </w:pPr>
            <w:r>
              <w:rPr>
                <w:rFonts w:hAnsiTheme="minorHAnsi" w:cstheme="minorHAnsi"/>
                <w:color w:val="000000"/>
                <w:sz w:val="18"/>
                <w:szCs w:val="18"/>
              </w:rPr>
              <w:t>9</w:t>
            </w:r>
          </w:p>
        </w:tc>
        <w:tc>
          <w:tcPr>
            <w:tcW w:w="710" w:type="pct"/>
            <w:vAlign w:val="center"/>
          </w:tcPr>
          <w:p w14:paraId="546CA132" w14:textId="150E5415" w:rsidR="00D80A55" w:rsidRPr="00A01261" w:rsidRDefault="00D80A55" w:rsidP="00D80A55">
            <w:pPr>
              <w:pStyle w:val="Ingetavstnd"/>
              <w:rPr>
                <w:rFonts w:hAnsiTheme="minorHAnsi" w:cstheme="minorHAnsi"/>
                <w:sz w:val="18"/>
                <w:szCs w:val="18"/>
              </w:rPr>
            </w:pPr>
            <w:r w:rsidRPr="00A01261">
              <w:rPr>
                <w:rFonts w:hAnsiTheme="minorHAnsi" w:cstheme="minorHAnsi"/>
                <w:color w:val="000000"/>
                <w:sz w:val="18"/>
                <w:szCs w:val="18"/>
              </w:rPr>
              <w:t xml:space="preserve">The first results from the Danish ACL reconstruction registry: epidemiologic and </w:t>
            </w:r>
            <w:r>
              <w:rPr>
                <w:rFonts w:hAnsiTheme="minorHAnsi" w:cstheme="minorHAnsi"/>
                <w:color w:val="000000"/>
                <w:sz w:val="18"/>
                <w:szCs w:val="18"/>
              </w:rPr>
              <w:t>two-</w:t>
            </w:r>
            <w:r w:rsidRPr="00A01261">
              <w:rPr>
                <w:rFonts w:hAnsiTheme="minorHAnsi" w:cstheme="minorHAnsi"/>
                <w:color w:val="000000"/>
                <w:sz w:val="18"/>
                <w:szCs w:val="18"/>
              </w:rPr>
              <w:t>year follow-up results from 5,818 knee ligament reconstructions</w:t>
            </w:r>
          </w:p>
        </w:tc>
        <w:tc>
          <w:tcPr>
            <w:tcW w:w="477" w:type="pct"/>
            <w:vAlign w:val="center"/>
          </w:tcPr>
          <w:p w14:paraId="6670E0C4" w14:textId="60EDD74E" w:rsidR="00D80A55" w:rsidRPr="00A01261" w:rsidRDefault="00D80A55" w:rsidP="00D80A55">
            <w:pPr>
              <w:pStyle w:val="Ingetavstnd"/>
              <w:rPr>
                <w:rFonts w:hAnsiTheme="minorHAnsi" w:cstheme="minorHAnsi"/>
                <w:sz w:val="18"/>
                <w:szCs w:val="18"/>
              </w:rPr>
            </w:pPr>
            <w:r w:rsidRPr="00A01261">
              <w:rPr>
                <w:rFonts w:hAnsiTheme="minorHAnsi" w:cstheme="minorHAnsi"/>
                <w:color w:val="000000"/>
                <w:sz w:val="18"/>
                <w:szCs w:val="18"/>
              </w:rPr>
              <w:t>To present epidemiology and short-term clinical outcome</w:t>
            </w:r>
          </w:p>
        </w:tc>
        <w:tc>
          <w:tcPr>
            <w:tcW w:w="574" w:type="pct"/>
            <w:vAlign w:val="center"/>
          </w:tcPr>
          <w:p w14:paraId="136BA4BC" w14:textId="1F69AF4B" w:rsidR="00D80A55" w:rsidRPr="00A01261" w:rsidRDefault="00D80A55" w:rsidP="00D80A55">
            <w:pPr>
              <w:pStyle w:val="Ingetavstnd"/>
              <w:rPr>
                <w:rFonts w:hAnsiTheme="minorHAnsi" w:cstheme="minorHAnsi"/>
                <w:sz w:val="18"/>
                <w:szCs w:val="18"/>
              </w:rPr>
            </w:pPr>
            <w:r w:rsidRPr="00A01261">
              <w:rPr>
                <w:rFonts w:hAnsiTheme="minorHAnsi" w:cstheme="minorHAnsi"/>
                <w:color w:val="000000"/>
                <w:sz w:val="18"/>
                <w:szCs w:val="18"/>
              </w:rPr>
              <w:t xml:space="preserve">Incidence of ACLR, revision, KOOS and </w:t>
            </w:r>
            <w:proofErr w:type="spellStart"/>
            <w:r w:rsidRPr="00A01261">
              <w:rPr>
                <w:rFonts w:hAnsiTheme="minorHAnsi" w:cstheme="minorHAnsi"/>
                <w:color w:val="000000"/>
                <w:sz w:val="18"/>
                <w:szCs w:val="18"/>
              </w:rPr>
              <w:t>Tegner</w:t>
            </w:r>
            <w:proofErr w:type="spellEnd"/>
            <w:r w:rsidRPr="00A01261">
              <w:rPr>
                <w:rFonts w:hAnsiTheme="minorHAnsi" w:cstheme="minorHAnsi"/>
                <w:color w:val="000000"/>
                <w:sz w:val="18"/>
                <w:szCs w:val="18"/>
              </w:rPr>
              <w:t xml:space="preserve"> </w:t>
            </w:r>
          </w:p>
        </w:tc>
        <w:tc>
          <w:tcPr>
            <w:tcW w:w="441" w:type="pct"/>
            <w:vAlign w:val="center"/>
          </w:tcPr>
          <w:p w14:paraId="34768F90" w14:textId="77777777" w:rsidR="00D80A55" w:rsidRDefault="00D80A55" w:rsidP="00D80A55">
            <w:pPr>
              <w:pStyle w:val="Ingetavstnd"/>
              <w:rPr>
                <w:rFonts w:hAnsiTheme="minorHAnsi" w:cstheme="minorHAnsi"/>
                <w:color w:val="000000"/>
                <w:sz w:val="18"/>
                <w:szCs w:val="18"/>
              </w:rPr>
            </w:pPr>
            <w:r>
              <w:rPr>
                <w:rFonts w:hAnsiTheme="minorHAnsi" w:cstheme="minorHAnsi"/>
                <w:color w:val="000000"/>
                <w:sz w:val="18"/>
                <w:szCs w:val="18"/>
              </w:rPr>
              <w:t xml:space="preserve">N </w:t>
            </w:r>
            <w:r w:rsidRPr="00A01261">
              <w:rPr>
                <w:rFonts w:hAnsiTheme="minorHAnsi" w:cstheme="minorHAnsi"/>
                <w:color w:val="000000"/>
                <w:sz w:val="18"/>
                <w:szCs w:val="18"/>
              </w:rPr>
              <w:t>=</w:t>
            </w:r>
            <w:r>
              <w:rPr>
                <w:rFonts w:hAnsiTheme="minorHAnsi" w:cstheme="minorHAnsi"/>
                <w:color w:val="000000"/>
                <w:sz w:val="18"/>
                <w:szCs w:val="18"/>
              </w:rPr>
              <w:t xml:space="preserve"> 5,818</w:t>
            </w:r>
          </w:p>
          <w:p w14:paraId="436E4D72" w14:textId="77777777" w:rsidR="00D80A55" w:rsidRDefault="00D80A55" w:rsidP="00D80A55">
            <w:pPr>
              <w:pStyle w:val="Ingetavstnd"/>
              <w:rPr>
                <w:rFonts w:hAnsiTheme="minorHAnsi" w:cstheme="minorHAnsi"/>
                <w:color w:val="000000"/>
                <w:sz w:val="18"/>
                <w:szCs w:val="18"/>
              </w:rPr>
            </w:pPr>
            <w:r>
              <w:rPr>
                <w:rFonts w:hAnsiTheme="minorHAnsi" w:cstheme="minorHAnsi"/>
                <w:color w:val="000000"/>
                <w:sz w:val="18"/>
                <w:szCs w:val="18"/>
              </w:rPr>
              <w:t xml:space="preserve">Primary ACLR = 4,972 </w:t>
            </w:r>
          </w:p>
          <w:p w14:paraId="239B787F" w14:textId="799DE8D9" w:rsidR="00D80A55" w:rsidRPr="00A01261" w:rsidRDefault="00D80A55" w:rsidP="00D80A55">
            <w:pPr>
              <w:pStyle w:val="Ingetavstnd"/>
              <w:rPr>
                <w:rFonts w:hAnsiTheme="minorHAnsi" w:cstheme="minorHAnsi"/>
                <w:sz w:val="18"/>
                <w:szCs w:val="18"/>
              </w:rPr>
            </w:pPr>
            <w:r>
              <w:rPr>
                <w:rFonts w:hAnsiTheme="minorHAnsi" w:cstheme="minorHAnsi"/>
                <w:color w:val="000000"/>
                <w:sz w:val="18"/>
                <w:szCs w:val="18"/>
              </w:rPr>
              <w:t xml:space="preserve">Revision ACLR = 443 </w:t>
            </w:r>
            <w:r w:rsidRPr="00A01261">
              <w:rPr>
                <w:rFonts w:hAnsiTheme="minorHAnsi" w:cstheme="minorHAnsi"/>
                <w:color w:val="000000"/>
                <w:sz w:val="18"/>
                <w:szCs w:val="18"/>
              </w:rPr>
              <w:t xml:space="preserve"> </w:t>
            </w:r>
          </w:p>
        </w:tc>
        <w:tc>
          <w:tcPr>
            <w:tcW w:w="444" w:type="pct"/>
            <w:vAlign w:val="center"/>
          </w:tcPr>
          <w:p w14:paraId="1E6A5C75" w14:textId="7266ACC0" w:rsidR="00D80A55" w:rsidRPr="00A01261" w:rsidRDefault="00D80A55" w:rsidP="00D80A55">
            <w:pPr>
              <w:pStyle w:val="Ingetavstnd"/>
              <w:rPr>
                <w:rFonts w:hAnsiTheme="minorHAnsi" w:cstheme="minorHAnsi"/>
                <w:sz w:val="18"/>
                <w:szCs w:val="18"/>
              </w:rPr>
            </w:pPr>
            <w:r w:rsidRPr="00A01261">
              <w:rPr>
                <w:rFonts w:hAnsiTheme="minorHAnsi" w:cstheme="minorHAnsi"/>
                <w:color w:val="000000"/>
                <w:sz w:val="18"/>
                <w:szCs w:val="18"/>
              </w:rPr>
              <w:t>2 y</w:t>
            </w:r>
            <w:r>
              <w:rPr>
                <w:rFonts w:hAnsiTheme="minorHAnsi" w:cstheme="minorHAnsi"/>
                <w:color w:val="000000"/>
                <w:sz w:val="18"/>
                <w:szCs w:val="18"/>
              </w:rPr>
              <w:t>ears</w:t>
            </w:r>
          </w:p>
        </w:tc>
        <w:tc>
          <w:tcPr>
            <w:tcW w:w="424" w:type="pct"/>
            <w:vAlign w:val="center"/>
          </w:tcPr>
          <w:p w14:paraId="7169B072" w14:textId="66FA342F" w:rsidR="00D80A55" w:rsidRPr="00A01261" w:rsidRDefault="00D80A55" w:rsidP="00D80A55">
            <w:pPr>
              <w:pStyle w:val="Ingetavstnd"/>
              <w:rPr>
                <w:rFonts w:hAnsiTheme="minorHAnsi" w:cstheme="minorHAnsi"/>
                <w:sz w:val="18"/>
                <w:szCs w:val="18"/>
              </w:rPr>
            </w:pPr>
            <w:r>
              <w:rPr>
                <w:rFonts w:hAnsiTheme="minorHAnsi" w:cstheme="minorHAnsi"/>
                <w:color w:val="000000"/>
                <w:sz w:val="18"/>
                <w:szCs w:val="18"/>
              </w:rPr>
              <w:t>Kaplan-Meier survival analysis</w:t>
            </w:r>
          </w:p>
        </w:tc>
        <w:tc>
          <w:tcPr>
            <w:tcW w:w="932" w:type="pct"/>
            <w:vAlign w:val="center"/>
          </w:tcPr>
          <w:p w14:paraId="7EA2EB3D" w14:textId="27B0CE3C" w:rsidR="00D80A55" w:rsidRPr="00A01261" w:rsidRDefault="00D80A55" w:rsidP="00D80A55">
            <w:pPr>
              <w:pStyle w:val="Ingetavstnd"/>
              <w:rPr>
                <w:rFonts w:hAnsiTheme="minorHAnsi" w:cstheme="minorHAnsi"/>
                <w:sz w:val="18"/>
                <w:szCs w:val="18"/>
              </w:rPr>
            </w:pPr>
            <w:r w:rsidRPr="00A01261">
              <w:rPr>
                <w:rFonts w:hAnsiTheme="minorHAnsi" w:cstheme="minorHAnsi"/>
                <w:color w:val="000000"/>
                <w:sz w:val="18"/>
                <w:szCs w:val="18"/>
              </w:rPr>
              <w:t xml:space="preserve">This paper describes the design and </w:t>
            </w:r>
            <w:r>
              <w:rPr>
                <w:rFonts w:hAnsiTheme="minorHAnsi" w:cstheme="minorHAnsi"/>
                <w:color w:val="000000"/>
                <w:sz w:val="18"/>
                <w:szCs w:val="18"/>
              </w:rPr>
              <w:t>two-</w:t>
            </w:r>
            <w:r w:rsidRPr="00A01261">
              <w:rPr>
                <w:rFonts w:hAnsiTheme="minorHAnsi" w:cstheme="minorHAnsi"/>
                <w:color w:val="000000"/>
                <w:sz w:val="18"/>
                <w:szCs w:val="18"/>
              </w:rPr>
              <w:t>year follow-up results of the Danish knee ligament reconstruction registry.</w:t>
            </w:r>
          </w:p>
        </w:tc>
      </w:tr>
      <w:tr w:rsidR="00D80A55" w:rsidRPr="00A01261" w14:paraId="5C5D6092" w14:textId="77777777" w:rsidTr="00D80A55">
        <w:tc>
          <w:tcPr>
            <w:tcW w:w="448" w:type="pct"/>
            <w:vAlign w:val="center"/>
          </w:tcPr>
          <w:p w14:paraId="4CD11BAF" w14:textId="1627ACA2" w:rsidR="00D80A55" w:rsidRPr="00A01261" w:rsidRDefault="00D80A55" w:rsidP="00D80A55">
            <w:pPr>
              <w:pStyle w:val="Ingetavstnd"/>
              <w:rPr>
                <w:rFonts w:hAnsiTheme="minorHAnsi" w:cstheme="minorHAnsi"/>
                <w:sz w:val="18"/>
                <w:szCs w:val="18"/>
              </w:rPr>
            </w:pPr>
            <w:r>
              <w:rPr>
                <w:rFonts w:hAnsiTheme="minorHAnsi" w:cstheme="minorHAnsi"/>
                <w:sz w:val="18"/>
                <w:szCs w:val="18"/>
              </w:rPr>
              <w:t>Lind et al</w:t>
            </w:r>
            <w:r w:rsidRPr="00A01261">
              <w:rPr>
                <w:rFonts w:hAnsiTheme="minorHAnsi" w:cstheme="minorHAnsi"/>
                <w:sz w:val="18"/>
                <w:szCs w:val="18"/>
              </w:rPr>
              <w:t xml:space="preserve"> (2012)</w:t>
            </w:r>
          </w:p>
        </w:tc>
        <w:tc>
          <w:tcPr>
            <w:tcW w:w="290" w:type="pct"/>
            <w:vAlign w:val="center"/>
          </w:tcPr>
          <w:p w14:paraId="13E1A25A" w14:textId="6AD41390" w:rsidR="00D80A55" w:rsidRDefault="00D80A55" w:rsidP="00D80A55">
            <w:pPr>
              <w:pStyle w:val="Ingetavstnd"/>
              <w:jc w:val="center"/>
              <w:rPr>
                <w:rFonts w:hAnsiTheme="minorHAnsi" w:cstheme="minorHAnsi"/>
                <w:color w:val="000000"/>
                <w:sz w:val="18"/>
                <w:szCs w:val="18"/>
              </w:rPr>
            </w:pPr>
            <w:r>
              <w:rPr>
                <w:rFonts w:hAnsiTheme="minorHAnsi" w:cstheme="minorHAnsi"/>
                <w:color w:val="000000"/>
                <w:sz w:val="18"/>
                <w:szCs w:val="18"/>
              </w:rPr>
              <w:t>Den</w:t>
            </w:r>
          </w:p>
        </w:tc>
        <w:tc>
          <w:tcPr>
            <w:tcW w:w="260" w:type="pct"/>
            <w:vAlign w:val="center"/>
          </w:tcPr>
          <w:p w14:paraId="3C7A492E" w14:textId="29EF474D" w:rsidR="00D80A55" w:rsidRPr="00A01261" w:rsidRDefault="00D80A55" w:rsidP="00D80A55">
            <w:pPr>
              <w:pStyle w:val="Ingetavstnd"/>
              <w:jc w:val="center"/>
              <w:rPr>
                <w:rFonts w:hAnsiTheme="minorHAnsi" w:cstheme="minorHAnsi"/>
                <w:color w:val="000000"/>
                <w:sz w:val="18"/>
                <w:szCs w:val="18"/>
              </w:rPr>
            </w:pPr>
            <w:r>
              <w:rPr>
                <w:rFonts w:hAnsiTheme="minorHAnsi" w:cstheme="minorHAnsi"/>
                <w:color w:val="000000"/>
                <w:sz w:val="18"/>
                <w:szCs w:val="18"/>
              </w:rPr>
              <w:t>13</w:t>
            </w:r>
          </w:p>
        </w:tc>
        <w:tc>
          <w:tcPr>
            <w:tcW w:w="710" w:type="pct"/>
            <w:vAlign w:val="center"/>
          </w:tcPr>
          <w:p w14:paraId="0D1FF85F" w14:textId="167FB61E" w:rsidR="00D80A55" w:rsidRPr="00A01261" w:rsidRDefault="00D80A55" w:rsidP="00D80A55">
            <w:pPr>
              <w:pStyle w:val="Ingetavstnd"/>
              <w:rPr>
                <w:rFonts w:hAnsiTheme="minorHAnsi" w:cstheme="minorHAnsi"/>
                <w:sz w:val="18"/>
                <w:szCs w:val="18"/>
              </w:rPr>
            </w:pPr>
            <w:r w:rsidRPr="00A01261">
              <w:rPr>
                <w:rFonts w:hAnsiTheme="minorHAnsi" w:cstheme="minorHAnsi"/>
                <w:color w:val="000000"/>
                <w:sz w:val="18"/>
                <w:szCs w:val="18"/>
              </w:rPr>
              <w:t>Incidence and Outcome After Revision Anterior Cruciate Ligament Reconstruction: results from the Danish registry for knee ligament reconstructions</w:t>
            </w:r>
          </w:p>
        </w:tc>
        <w:tc>
          <w:tcPr>
            <w:tcW w:w="477" w:type="pct"/>
            <w:vAlign w:val="center"/>
          </w:tcPr>
          <w:p w14:paraId="1E88084A" w14:textId="12146CD7" w:rsidR="00D80A55" w:rsidRPr="00A01261" w:rsidRDefault="00D80A55" w:rsidP="00D80A55">
            <w:pPr>
              <w:pStyle w:val="Ingetavstnd"/>
              <w:rPr>
                <w:rFonts w:hAnsiTheme="minorHAnsi" w:cstheme="minorHAnsi"/>
                <w:sz w:val="18"/>
                <w:szCs w:val="18"/>
              </w:rPr>
            </w:pPr>
            <w:r w:rsidRPr="00A01261">
              <w:rPr>
                <w:rFonts w:hAnsiTheme="minorHAnsi" w:cstheme="minorHAnsi"/>
                <w:color w:val="000000"/>
                <w:sz w:val="18"/>
                <w:szCs w:val="18"/>
              </w:rPr>
              <w:t xml:space="preserve">To describe the epidemiology and risk factors for revision ACLR. To compare the outcome after revision with primary ACLR </w:t>
            </w:r>
          </w:p>
        </w:tc>
        <w:tc>
          <w:tcPr>
            <w:tcW w:w="574" w:type="pct"/>
            <w:vAlign w:val="center"/>
          </w:tcPr>
          <w:p w14:paraId="63B2C610" w14:textId="34A03691" w:rsidR="00D80A55" w:rsidRPr="00A01261" w:rsidRDefault="00D80A55" w:rsidP="00D80A55">
            <w:pPr>
              <w:pStyle w:val="Ingetavstnd"/>
              <w:rPr>
                <w:rFonts w:hAnsiTheme="minorHAnsi" w:cstheme="minorHAnsi"/>
                <w:sz w:val="18"/>
                <w:szCs w:val="18"/>
              </w:rPr>
            </w:pPr>
            <w:r w:rsidRPr="00A01261">
              <w:rPr>
                <w:rFonts w:hAnsiTheme="minorHAnsi" w:cstheme="minorHAnsi"/>
                <w:color w:val="000000"/>
                <w:sz w:val="18"/>
                <w:szCs w:val="18"/>
              </w:rPr>
              <w:t xml:space="preserve">Revision ACLR. KOOS and </w:t>
            </w:r>
            <w:proofErr w:type="spellStart"/>
            <w:r w:rsidRPr="00A01261">
              <w:rPr>
                <w:rFonts w:hAnsiTheme="minorHAnsi" w:cstheme="minorHAnsi"/>
                <w:color w:val="000000"/>
                <w:sz w:val="18"/>
                <w:szCs w:val="18"/>
              </w:rPr>
              <w:t>Tegner</w:t>
            </w:r>
            <w:proofErr w:type="spellEnd"/>
            <w:r w:rsidRPr="00A01261">
              <w:rPr>
                <w:rFonts w:hAnsiTheme="minorHAnsi" w:cstheme="minorHAnsi"/>
                <w:color w:val="000000"/>
                <w:sz w:val="18"/>
                <w:szCs w:val="18"/>
              </w:rPr>
              <w:t>. Objective knee stability</w:t>
            </w:r>
          </w:p>
        </w:tc>
        <w:tc>
          <w:tcPr>
            <w:tcW w:w="441" w:type="pct"/>
            <w:vAlign w:val="center"/>
          </w:tcPr>
          <w:p w14:paraId="015A36F1" w14:textId="77777777" w:rsidR="00D80A55" w:rsidRDefault="00D80A55" w:rsidP="00D80A55">
            <w:pPr>
              <w:pStyle w:val="Ingetavstnd"/>
              <w:rPr>
                <w:rFonts w:hAnsiTheme="minorHAnsi" w:cstheme="minorHAnsi"/>
                <w:color w:val="000000"/>
                <w:sz w:val="18"/>
                <w:szCs w:val="18"/>
              </w:rPr>
            </w:pPr>
            <w:r>
              <w:rPr>
                <w:rFonts w:hAnsiTheme="minorHAnsi" w:cstheme="minorHAnsi"/>
                <w:color w:val="000000"/>
                <w:sz w:val="18"/>
                <w:szCs w:val="18"/>
              </w:rPr>
              <w:t xml:space="preserve">Primary </w:t>
            </w:r>
            <w:proofErr w:type="gramStart"/>
            <w:r>
              <w:rPr>
                <w:rFonts w:hAnsiTheme="minorHAnsi" w:cstheme="minorHAnsi"/>
                <w:color w:val="000000"/>
                <w:sz w:val="18"/>
                <w:szCs w:val="18"/>
              </w:rPr>
              <w:t xml:space="preserve">ACLR  </w:t>
            </w:r>
            <w:r w:rsidRPr="00A01261">
              <w:rPr>
                <w:rFonts w:hAnsiTheme="minorHAnsi" w:cstheme="minorHAnsi"/>
                <w:color w:val="000000"/>
                <w:sz w:val="18"/>
                <w:szCs w:val="18"/>
              </w:rPr>
              <w:t>=</w:t>
            </w:r>
            <w:proofErr w:type="gramEnd"/>
            <w:r>
              <w:rPr>
                <w:rFonts w:hAnsiTheme="minorHAnsi" w:cstheme="minorHAnsi"/>
                <w:color w:val="000000"/>
                <w:sz w:val="18"/>
                <w:szCs w:val="18"/>
              </w:rPr>
              <w:t xml:space="preserve"> </w:t>
            </w:r>
            <w:r w:rsidRPr="00A01261">
              <w:rPr>
                <w:rFonts w:hAnsiTheme="minorHAnsi" w:cstheme="minorHAnsi"/>
                <w:color w:val="000000"/>
                <w:sz w:val="18"/>
                <w:szCs w:val="18"/>
              </w:rPr>
              <w:t>12,193</w:t>
            </w:r>
          </w:p>
          <w:p w14:paraId="5C654314" w14:textId="7CFA5BFE" w:rsidR="00D80A55" w:rsidRPr="00A01261" w:rsidRDefault="00D80A55" w:rsidP="00D80A55">
            <w:pPr>
              <w:pStyle w:val="Ingetavstnd"/>
              <w:rPr>
                <w:rFonts w:hAnsiTheme="minorHAnsi" w:cstheme="minorHAnsi"/>
                <w:sz w:val="18"/>
                <w:szCs w:val="18"/>
              </w:rPr>
            </w:pPr>
            <w:r w:rsidRPr="00A01261">
              <w:rPr>
                <w:rFonts w:hAnsiTheme="minorHAnsi" w:cstheme="minorHAnsi"/>
                <w:color w:val="000000"/>
                <w:sz w:val="18"/>
                <w:szCs w:val="18"/>
              </w:rPr>
              <w:t>Revision ACLR</w:t>
            </w:r>
            <w:r>
              <w:rPr>
                <w:rFonts w:hAnsiTheme="minorHAnsi" w:cstheme="minorHAnsi"/>
                <w:color w:val="000000"/>
                <w:sz w:val="18"/>
                <w:szCs w:val="18"/>
              </w:rPr>
              <w:t xml:space="preserve"> </w:t>
            </w:r>
            <w:r w:rsidRPr="00A01261">
              <w:rPr>
                <w:rFonts w:hAnsiTheme="minorHAnsi" w:cstheme="minorHAnsi"/>
                <w:color w:val="000000"/>
                <w:sz w:val="18"/>
                <w:szCs w:val="18"/>
              </w:rPr>
              <w:t>=</w:t>
            </w:r>
            <w:r>
              <w:rPr>
                <w:rFonts w:hAnsiTheme="minorHAnsi" w:cstheme="minorHAnsi"/>
                <w:color w:val="000000"/>
                <w:sz w:val="18"/>
                <w:szCs w:val="18"/>
              </w:rPr>
              <w:t xml:space="preserve"> </w:t>
            </w:r>
            <w:r w:rsidRPr="00A01261">
              <w:rPr>
                <w:rFonts w:hAnsiTheme="minorHAnsi" w:cstheme="minorHAnsi"/>
                <w:color w:val="000000"/>
                <w:sz w:val="18"/>
                <w:szCs w:val="18"/>
              </w:rPr>
              <w:t>1</w:t>
            </w:r>
            <w:r>
              <w:rPr>
                <w:rFonts w:hAnsiTheme="minorHAnsi" w:cstheme="minorHAnsi"/>
                <w:color w:val="000000"/>
                <w:sz w:val="18"/>
                <w:szCs w:val="18"/>
              </w:rPr>
              <w:t>,</w:t>
            </w:r>
            <w:r w:rsidRPr="00A01261">
              <w:rPr>
                <w:rFonts w:hAnsiTheme="minorHAnsi" w:cstheme="minorHAnsi"/>
                <w:color w:val="000000"/>
                <w:sz w:val="18"/>
                <w:szCs w:val="18"/>
              </w:rPr>
              <w:t>099</w:t>
            </w:r>
          </w:p>
        </w:tc>
        <w:tc>
          <w:tcPr>
            <w:tcW w:w="444" w:type="pct"/>
            <w:vAlign w:val="center"/>
          </w:tcPr>
          <w:p w14:paraId="33CB4C5B" w14:textId="5115E494" w:rsidR="00D80A55" w:rsidRPr="00A01261" w:rsidRDefault="00D80A55" w:rsidP="00D80A55">
            <w:pPr>
              <w:pStyle w:val="Ingetavstnd"/>
              <w:rPr>
                <w:rFonts w:hAnsiTheme="minorHAnsi" w:cstheme="minorHAnsi"/>
                <w:sz w:val="18"/>
                <w:szCs w:val="18"/>
              </w:rPr>
            </w:pPr>
            <w:r w:rsidRPr="00A01261">
              <w:rPr>
                <w:rFonts w:hAnsiTheme="minorHAnsi" w:cstheme="minorHAnsi"/>
                <w:color w:val="000000"/>
                <w:sz w:val="18"/>
                <w:szCs w:val="18"/>
              </w:rPr>
              <w:t>5 y</w:t>
            </w:r>
            <w:r>
              <w:rPr>
                <w:rFonts w:hAnsiTheme="minorHAnsi" w:cstheme="minorHAnsi"/>
                <w:color w:val="000000"/>
                <w:sz w:val="18"/>
                <w:szCs w:val="18"/>
              </w:rPr>
              <w:t>ears</w:t>
            </w:r>
            <w:r w:rsidRPr="00A01261">
              <w:rPr>
                <w:rFonts w:hAnsiTheme="minorHAnsi" w:cstheme="minorHAnsi"/>
                <w:color w:val="000000"/>
                <w:sz w:val="18"/>
                <w:szCs w:val="18"/>
              </w:rPr>
              <w:t xml:space="preserve"> for revision. 1 y</w:t>
            </w:r>
            <w:r>
              <w:rPr>
                <w:rFonts w:hAnsiTheme="minorHAnsi" w:cstheme="minorHAnsi"/>
                <w:color w:val="000000"/>
                <w:sz w:val="18"/>
                <w:szCs w:val="18"/>
              </w:rPr>
              <w:t>ear</w:t>
            </w:r>
            <w:r w:rsidRPr="00A01261">
              <w:rPr>
                <w:rFonts w:hAnsiTheme="minorHAnsi" w:cstheme="minorHAnsi"/>
                <w:color w:val="000000"/>
                <w:sz w:val="18"/>
                <w:szCs w:val="18"/>
              </w:rPr>
              <w:t xml:space="preserve"> KOOS, </w:t>
            </w:r>
            <w:proofErr w:type="spellStart"/>
            <w:r w:rsidRPr="00A01261">
              <w:rPr>
                <w:rFonts w:hAnsiTheme="minorHAnsi" w:cstheme="minorHAnsi"/>
                <w:color w:val="000000"/>
                <w:sz w:val="18"/>
                <w:szCs w:val="18"/>
              </w:rPr>
              <w:t>Tegner</w:t>
            </w:r>
            <w:proofErr w:type="spellEnd"/>
            <w:r w:rsidRPr="00A01261">
              <w:rPr>
                <w:rFonts w:hAnsiTheme="minorHAnsi" w:cstheme="minorHAnsi"/>
                <w:color w:val="000000"/>
                <w:sz w:val="18"/>
                <w:szCs w:val="18"/>
              </w:rPr>
              <w:t xml:space="preserve"> and stability tests</w:t>
            </w:r>
          </w:p>
        </w:tc>
        <w:tc>
          <w:tcPr>
            <w:tcW w:w="424" w:type="pct"/>
            <w:vAlign w:val="center"/>
          </w:tcPr>
          <w:p w14:paraId="193CFCBA" w14:textId="69C9DFAE" w:rsidR="00D80A55" w:rsidRPr="00A01261" w:rsidRDefault="00D80A55" w:rsidP="00D80A55">
            <w:pPr>
              <w:pStyle w:val="Ingetavstnd"/>
              <w:rPr>
                <w:rFonts w:hAnsiTheme="minorHAnsi" w:cstheme="minorHAnsi"/>
                <w:sz w:val="18"/>
                <w:szCs w:val="18"/>
              </w:rPr>
            </w:pPr>
            <w:r w:rsidRPr="00A01261">
              <w:rPr>
                <w:rFonts w:hAnsiTheme="minorHAnsi" w:cstheme="minorHAnsi"/>
                <w:color w:val="000000"/>
                <w:sz w:val="18"/>
                <w:szCs w:val="18"/>
              </w:rPr>
              <w:t>Kaplan-Meier. Cox regr</w:t>
            </w:r>
            <w:r>
              <w:rPr>
                <w:rFonts w:hAnsiTheme="minorHAnsi" w:cstheme="minorHAnsi"/>
                <w:color w:val="000000"/>
                <w:sz w:val="18"/>
                <w:szCs w:val="18"/>
              </w:rPr>
              <w:t>ession and Wilcoxon two-sample test</w:t>
            </w:r>
          </w:p>
        </w:tc>
        <w:tc>
          <w:tcPr>
            <w:tcW w:w="932" w:type="pct"/>
            <w:vAlign w:val="center"/>
          </w:tcPr>
          <w:p w14:paraId="53B831DA" w14:textId="5471C4EB" w:rsidR="00D80A55" w:rsidRPr="00A01261" w:rsidRDefault="00D80A55" w:rsidP="00D80A55">
            <w:pPr>
              <w:pStyle w:val="Ingetavstnd"/>
              <w:rPr>
                <w:rFonts w:hAnsiTheme="minorHAnsi" w:cstheme="minorHAnsi"/>
                <w:sz w:val="18"/>
                <w:szCs w:val="18"/>
              </w:rPr>
            </w:pPr>
            <w:r>
              <w:rPr>
                <w:rFonts w:hAnsiTheme="minorHAnsi" w:cstheme="minorHAnsi"/>
                <w:color w:val="000000"/>
                <w:sz w:val="18"/>
                <w:szCs w:val="18"/>
              </w:rPr>
              <w:t>Age younger than</w:t>
            </w:r>
            <w:r w:rsidRPr="00A01261">
              <w:rPr>
                <w:rFonts w:hAnsiTheme="minorHAnsi" w:cstheme="minorHAnsi"/>
                <w:color w:val="000000"/>
                <w:sz w:val="18"/>
                <w:szCs w:val="18"/>
              </w:rPr>
              <w:t xml:space="preserve"> 20 years increases the risk of revision. Acceptable knee stability was seen after revision ACL reconstruction</w:t>
            </w:r>
            <w:r>
              <w:rPr>
                <w:rFonts w:hAnsiTheme="minorHAnsi" w:cstheme="minorHAnsi"/>
                <w:color w:val="000000"/>
                <w:sz w:val="18"/>
                <w:szCs w:val="18"/>
              </w:rPr>
              <w:t>,</w:t>
            </w:r>
            <w:r w:rsidRPr="00A01261">
              <w:rPr>
                <w:rFonts w:hAnsiTheme="minorHAnsi" w:cstheme="minorHAnsi"/>
                <w:color w:val="000000"/>
                <w:sz w:val="18"/>
                <w:szCs w:val="18"/>
              </w:rPr>
              <w:t xml:space="preserve"> but subjective outcome was less fav</w:t>
            </w:r>
            <w:r>
              <w:rPr>
                <w:rFonts w:hAnsiTheme="minorHAnsi" w:cstheme="minorHAnsi"/>
                <w:color w:val="000000"/>
                <w:sz w:val="18"/>
                <w:szCs w:val="18"/>
              </w:rPr>
              <w:t>or</w:t>
            </w:r>
            <w:r w:rsidRPr="00A01261">
              <w:rPr>
                <w:rFonts w:hAnsiTheme="minorHAnsi" w:cstheme="minorHAnsi"/>
                <w:color w:val="000000"/>
                <w:sz w:val="18"/>
                <w:szCs w:val="18"/>
              </w:rPr>
              <w:t>able than after primary ACL reconstruction.</w:t>
            </w:r>
          </w:p>
        </w:tc>
      </w:tr>
      <w:tr w:rsidR="00D80A55" w:rsidRPr="00A01261" w14:paraId="6007C3D9" w14:textId="77777777" w:rsidTr="00D80A55">
        <w:tc>
          <w:tcPr>
            <w:tcW w:w="448" w:type="pct"/>
            <w:vAlign w:val="center"/>
          </w:tcPr>
          <w:p w14:paraId="6EE24D19" w14:textId="7E3772CC" w:rsidR="00D80A55" w:rsidRPr="00A01261" w:rsidRDefault="00D80A55" w:rsidP="00D80A55">
            <w:pPr>
              <w:pStyle w:val="Ingetavstnd"/>
              <w:rPr>
                <w:rFonts w:hAnsiTheme="minorHAnsi" w:cstheme="minorHAnsi"/>
                <w:sz w:val="18"/>
                <w:szCs w:val="18"/>
              </w:rPr>
            </w:pPr>
            <w:proofErr w:type="spellStart"/>
            <w:r>
              <w:rPr>
                <w:rFonts w:hAnsiTheme="minorHAnsi" w:cstheme="minorHAnsi"/>
                <w:sz w:val="18"/>
                <w:szCs w:val="18"/>
              </w:rPr>
              <w:t>Owesen</w:t>
            </w:r>
            <w:proofErr w:type="spellEnd"/>
            <w:r>
              <w:rPr>
                <w:rFonts w:hAnsiTheme="minorHAnsi" w:cstheme="minorHAnsi"/>
                <w:sz w:val="18"/>
                <w:szCs w:val="18"/>
              </w:rPr>
              <w:t xml:space="preserve"> et al (2015)</w:t>
            </w:r>
          </w:p>
        </w:tc>
        <w:tc>
          <w:tcPr>
            <w:tcW w:w="290" w:type="pct"/>
            <w:vAlign w:val="center"/>
          </w:tcPr>
          <w:p w14:paraId="66030572" w14:textId="59A81C96" w:rsidR="00D80A55" w:rsidRDefault="00D80A55" w:rsidP="00D80A55">
            <w:pPr>
              <w:pStyle w:val="Ingetavstnd"/>
              <w:jc w:val="center"/>
              <w:rPr>
                <w:rFonts w:hAnsiTheme="minorHAnsi" w:cstheme="minorHAnsi"/>
                <w:color w:val="000000"/>
                <w:sz w:val="18"/>
                <w:szCs w:val="18"/>
              </w:rPr>
            </w:pPr>
            <w:r>
              <w:rPr>
                <w:rFonts w:hAnsiTheme="minorHAnsi" w:cstheme="minorHAnsi"/>
                <w:color w:val="000000"/>
                <w:sz w:val="18"/>
                <w:szCs w:val="18"/>
              </w:rPr>
              <w:t>Nor</w:t>
            </w:r>
          </w:p>
        </w:tc>
        <w:tc>
          <w:tcPr>
            <w:tcW w:w="260" w:type="pct"/>
            <w:vAlign w:val="center"/>
          </w:tcPr>
          <w:p w14:paraId="1C6CD2BF" w14:textId="0C4F80BA" w:rsidR="00D80A55" w:rsidRDefault="00D80A55" w:rsidP="00D80A55">
            <w:pPr>
              <w:pStyle w:val="Ingetavstnd"/>
              <w:jc w:val="center"/>
              <w:rPr>
                <w:rFonts w:ascii="Calibri" w:hAnsi="Calibri" w:cs="Calibri"/>
                <w:color w:val="000000"/>
                <w:sz w:val="18"/>
                <w:szCs w:val="18"/>
              </w:rPr>
            </w:pPr>
            <w:r>
              <w:rPr>
                <w:rFonts w:ascii="Calibri" w:hAnsi="Calibri" w:cs="Calibri"/>
                <w:color w:val="000000"/>
                <w:sz w:val="18"/>
                <w:szCs w:val="18"/>
              </w:rPr>
              <w:t>18</w:t>
            </w:r>
          </w:p>
        </w:tc>
        <w:tc>
          <w:tcPr>
            <w:tcW w:w="710" w:type="pct"/>
            <w:vAlign w:val="center"/>
          </w:tcPr>
          <w:p w14:paraId="7AB4A938" w14:textId="3A5650F6" w:rsidR="00D80A55" w:rsidRPr="00A01261" w:rsidRDefault="00D80A55" w:rsidP="00D80A55">
            <w:pPr>
              <w:pStyle w:val="Ingetavstnd"/>
              <w:rPr>
                <w:rFonts w:hAnsiTheme="minorHAnsi" w:cstheme="minorHAnsi"/>
                <w:color w:val="000000"/>
                <w:sz w:val="18"/>
                <w:szCs w:val="18"/>
              </w:rPr>
            </w:pPr>
            <w:r>
              <w:rPr>
                <w:rFonts w:ascii="Calibri" w:hAnsi="Calibri" w:cs="Calibri"/>
                <w:color w:val="000000"/>
                <w:sz w:val="18"/>
                <w:szCs w:val="18"/>
              </w:rPr>
              <w:t xml:space="preserve">Patients With </w:t>
            </w:r>
            <w:r w:rsidRPr="007D5FDE">
              <w:rPr>
                <w:rFonts w:ascii="Calibri" w:hAnsi="Calibri" w:cs="Calibri"/>
                <w:color w:val="000000"/>
                <w:sz w:val="18"/>
                <w:szCs w:val="18"/>
              </w:rPr>
              <w:t xml:space="preserve">Isolated PCL Injuries Improve From Surgery as Much as Patients With ACL Injuries After </w:t>
            </w:r>
            <w:r>
              <w:rPr>
                <w:rFonts w:ascii="Calibri" w:hAnsi="Calibri" w:cs="Calibri"/>
                <w:color w:val="000000"/>
                <w:sz w:val="18"/>
                <w:szCs w:val="18"/>
              </w:rPr>
              <w:t>Two</w:t>
            </w:r>
            <w:r w:rsidRPr="007D5FDE">
              <w:rPr>
                <w:rFonts w:ascii="Calibri" w:hAnsi="Calibri" w:cs="Calibri"/>
                <w:color w:val="000000"/>
                <w:sz w:val="18"/>
                <w:szCs w:val="18"/>
              </w:rPr>
              <w:t xml:space="preserve"> Years</w:t>
            </w:r>
          </w:p>
        </w:tc>
        <w:tc>
          <w:tcPr>
            <w:tcW w:w="477" w:type="pct"/>
            <w:vAlign w:val="center"/>
          </w:tcPr>
          <w:p w14:paraId="5EF1BF7A" w14:textId="77777777" w:rsidR="00D80A55" w:rsidRPr="007D5FDE" w:rsidRDefault="00D80A55" w:rsidP="00D80A55">
            <w:pPr>
              <w:rPr>
                <w:rFonts w:ascii="Calibri" w:hAnsi="Calibri" w:cs="Calibri"/>
                <w:color w:val="000000"/>
                <w:sz w:val="18"/>
                <w:szCs w:val="18"/>
              </w:rPr>
            </w:pPr>
            <w:r w:rsidRPr="007D5FDE">
              <w:rPr>
                <w:rFonts w:ascii="Calibri" w:hAnsi="Calibri" w:cs="Calibri"/>
                <w:color w:val="000000"/>
                <w:sz w:val="18"/>
                <w:szCs w:val="18"/>
              </w:rPr>
              <w:t xml:space="preserve">To investigate the outcome after PCL reconstruction in patients with an isolated PCL injury and to compare this with the outcome </w:t>
            </w:r>
            <w:r>
              <w:rPr>
                <w:rFonts w:ascii="Calibri" w:hAnsi="Calibri" w:cs="Calibri"/>
                <w:color w:val="000000"/>
                <w:sz w:val="18"/>
                <w:szCs w:val="18"/>
              </w:rPr>
              <w:t>for</w:t>
            </w:r>
            <w:r w:rsidRPr="007D5FDE">
              <w:rPr>
                <w:rFonts w:ascii="Calibri" w:hAnsi="Calibri" w:cs="Calibri"/>
                <w:color w:val="000000"/>
                <w:sz w:val="18"/>
                <w:szCs w:val="18"/>
              </w:rPr>
              <w:t xml:space="preserve"> patients </w:t>
            </w:r>
            <w:r w:rsidRPr="007D5FDE">
              <w:rPr>
                <w:rFonts w:ascii="Calibri" w:hAnsi="Calibri" w:cs="Calibri"/>
                <w:color w:val="000000"/>
                <w:sz w:val="18"/>
                <w:szCs w:val="18"/>
              </w:rPr>
              <w:lastRenderedPageBreak/>
              <w:t>treated with isolated ACLR</w:t>
            </w:r>
          </w:p>
          <w:p w14:paraId="7FCCD455" w14:textId="6164352D" w:rsidR="00D80A55" w:rsidRPr="00A01261" w:rsidRDefault="00D80A55" w:rsidP="00D80A55">
            <w:pPr>
              <w:pStyle w:val="Ingetavstnd"/>
              <w:rPr>
                <w:rFonts w:hAnsiTheme="minorHAnsi" w:cstheme="minorHAnsi"/>
                <w:color w:val="000000"/>
                <w:sz w:val="18"/>
                <w:szCs w:val="18"/>
              </w:rPr>
            </w:pPr>
          </w:p>
        </w:tc>
        <w:tc>
          <w:tcPr>
            <w:tcW w:w="574" w:type="pct"/>
            <w:vAlign w:val="center"/>
          </w:tcPr>
          <w:p w14:paraId="6FFABEFB" w14:textId="7B4B82FC" w:rsidR="00D80A55" w:rsidRPr="00A01261" w:rsidRDefault="00D80A55" w:rsidP="00D80A55">
            <w:pPr>
              <w:pStyle w:val="Ingetavstnd"/>
              <w:rPr>
                <w:rFonts w:hAnsiTheme="minorHAnsi" w:cstheme="minorHAnsi"/>
                <w:color w:val="000000"/>
                <w:sz w:val="18"/>
                <w:szCs w:val="18"/>
              </w:rPr>
            </w:pPr>
            <w:r w:rsidRPr="007D5FDE">
              <w:rPr>
                <w:rFonts w:hAnsiTheme="minorHAnsi" w:cstheme="minorHAnsi"/>
                <w:color w:val="000000"/>
                <w:sz w:val="18"/>
                <w:szCs w:val="18"/>
              </w:rPr>
              <w:lastRenderedPageBreak/>
              <w:t>KOOS</w:t>
            </w:r>
          </w:p>
        </w:tc>
        <w:tc>
          <w:tcPr>
            <w:tcW w:w="441" w:type="pct"/>
            <w:vAlign w:val="center"/>
          </w:tcPr>
          <w:p w14:paraId="1AECEB52" w14:textId="77777777" w:rsidR="00D80A55" w:rsidRPr="007D5FDE" w:rsidRDefault="00D80A55" w:rsidP="00D80A55">
            <w:pPr>
              <w:pStyle w:val="Ingetavstnd"/>
              <w:rPr>
                <w:rFonts w:hAnsiTheme="minorHAnsi" w:cstheme="minorHAnsi"/>
                <w:color w:val="000000"/>
                <w:sz w:val="18"/>
                <w:szCs w:val="18"/>
              </w:rPr>
            </w:pPr>
            <w:r w:rsidRPr="007D5FDE">
              <w:rPr>
                <w:rFonts w:hAnsiTheme="minorHAnsi" w:cstheme="minorHAnsi"/>
                <w:color w:val="000000"/>
                <w:sz w:val="18"/>
                <w:szCs w:val="18"/>
              </w:rPr>
              <w:t>PCL n=71</w:t>
            </w:r>
          </w:p>
          <w:p w14:paraId="017D9800" w14:textId="0E0C6050" w:rsidR="00D80A55" w:rsidRPr="00A01261" w:rsidRDefault="00D80A55" w:rsidP="00D80A55">
            <w:pPr>
              <w:pStyle w:val="Ingetavstnd"/>
              <w:rPr>
                <w:rFonts w:hAnsiTheme="minorHAnsi" w:cstheme="minorHAnsi"/>
                <w:color w:val="000000"/>
                <w:sz w:val="18"/>
                <w:szCs w:val="18"/>
              </w:rPr>
            </w:pPr>
            <w:r w:rsidRPr="007D5FDE">
              <w:rPr>
                <w:rFonts w:hAnsiTheme="minorHAnsi" w:cstheme="minorHAnsi"/>
                <w:color w:val="000000"/>
                <w:sz w:val="18"/>
                <w:szCs w:val="18"/>
              </w:rPr>
              <w:t>Isolated ACL n=9,661</w:t>
            </w:r>
          </w:p>
        </w:tc>
        <w:tc>
          <w:tcPr>
            <w:tcW w:w="444" w:type="pct"/>
            <w:vAlign w:val="center"/>
          </w:tcPr>
          <w:p w14:paraId="4A3CF25E" w14:textId="5566BED3" w:rsidR="00D80A55" w:rsidRPr="00A01261" w:rsidRDefault="00D80A55" w:rsidP="00D80A55">
            <w:pPr>
              <w:pStyle w:val="Ingetavstnd"/>
              <w:rPr>
                <w:rFonts w:hAnsiTheme="minorHAnsi" w:cstheme="minorHAnsi"/>
                <w:color w:val="000000"/>
                <w:sz w:val="18"/>
                <w:szCs w:val="18"/>
              </w:rPr>
            </w:pPr>
            <w:r w:rsidRPr="007D5FDE">
              <w:rPr>
                <w:rFonts w:hAnsiTheme="minorHAnsi" w:cstheme="minorHAnsi"/>
                <w:color w:val="000000"/>
                <w:sz w:val="18"/>
                <w:szCs w:val="18"/>
              </w:rPr>
              <w:t>2 y</w:t>
            </w:r>
            <w:r>
              <w:rPr>
                <w:rFonts w:hAnsiTheme="minorHAnsi" w:cstheme="minorHAnsi"/>
                <w:color w:val="000000"/>
                <w:sz w:val="18"/>
                <w:szCs w:val="18"/>
              </w:rPr>
              <w:t>ears</w:t>
            </w:r>
          </w:p>
        </w:tc>
        <w:tc>
          <w:tcPr>
            <w:tcW w:w="424" w:type="pct"/>
            <w:vAlign w:val="center"/>
          </w:tcPr>
          <w:p w14:paraId="1F2AED19" w14:textId="6B3D885C" w:rsidR="00D80A55" w:rsidRPr="00A01261" w:rsidRDefault="00D80A55" w:rsidP="00D80A55">
            <w:pPr>
              <w:pStyle w:val="Ingetavstnd"/>
              <w:rPr>
                <w:rFonts w:hAnsiTheme="minorHAnsi" w:cstheme="minorHAnsi"/>
                <w:color w:val="000000"/>
                <w:sz w:val="18"/>
                <w:szCs w:val="18"/>
              </w:rPr>
            </w:pPr>
            <w:r w:rsidRPr="007D5FDE">
              <w:rPr>
                <w:rFonts w:ascii="Calibri" w:hAnsi="Calibri" w:cs="Calibri"/>
                <w:color w:val="000000"/>
                <w:sz w:val="18"/>
                <w:szCs w:val="18"/>
              </w:rPr>
              <w:t>Paired t-test, chi-square</w:t>
            </w:r>
          </w:p>
        </w:tc>
        <w:tc>
          <w:tcPr>
            <w:tcW w:w="932" w:type="pct"/>
            <w:vAlign w:val="center"/>
          </w:tcPr>
          <w:p w14:paraId="4CD69B11" w14:textId="32A513E1" w:rsidR="00D80A55" w:rsidRPr="00A01261" w:rsidRDefault="00D80A55" w:rsidP="00D80A55">
            <w:pPr>
              <w:pStyle w:val="Ingetavstnd"/>
              <w:rPr>
                <w:rFonts w:hAnsiTheme="minorHAnsi" w:cstheme="minorHAnsi"/>
                <w:color w:val="000000"/>
                <w:sz w:val="18"/>
                <w:szCs w:val="18"/>
              </w:rPr>
            </w:pPr>
            <w:r w:rsidRPr="007D5FDE">
              <w:rPr>
                <w:rFonts w:hAnsiTheme="minorHAnsi" w:cstheme="minorHAnsi"/>
                <w:color w:val="000000"/>
                <w:sz w:val="18"/>
                <w:szCs w:val="18"/>
              </w:rPr>
              <w:t>Patients undergoing PCL reconstruction can expect the same improvements in KOOS score as patients undergoing ACL reconstruction. H</w:t>
            </w:r>
            <w:r>
              <w:rPr>
                <w:rFonts w:hAnsiTheme="minorHAnsi" w:cstheme="minorHAnsi"/>
                <w:color w:val="000000"/>
                <w:sz w:val="18"/>
                <w:szCs w:val="18"/>
              </w:rPr>
              <w:t xml:space="preserve">owever, PCL patients start out </w:t>
            </w:r>
            <w:r w:rsidRPr="007D5FDE">
              <w:rPr>
                <w:rFonts w:hAnsiTheme="minorHAnsi" w:cstheme="minorHAnsi"/>
                <w:color w:val="000000"/>
                <w:sz w:val="18"/>
                <w:szCs w:val="18"/>
              </w:rPr>
              <w:t>with an inferior score on average and consequently end up at a lower score compared with ACL patients for all KOOS subscales.</w:t>
            </w:r>
          </w:p>
        </w:tc>
      </w:tr>
      <w:tr w:rsidR="00D80A55" w:rsidRPr="00A01261" w14:paraId="0837062F" w14:textId="77777777" w:rsidTr="00D80A55">
        <w:tc>
          <w:tcPr>
            <w:tcW w:w="448" w:type="pct"/>
            <w:vAlign w:val="center"/>
          </w:tcPr>
          <w:p w14:paraId="3EEF0E8F" w14:textId="7BB203EB" w:rsidR="00D80A55" w:rsidRPr="00A01261" w:rsidRDefault="00D80A55" w:rsidP="00D80A55">
            <w:pPr>
              <w:pStyle w:val="Ingetavstnd"/>
              <w:rPr>
                <w:rFonts w:hAnsiTheme="minorHAnsi" w:cstheme="minorHAnsi"/>
                <w:sz w:val="18"/>
                <w:szCs w:val="18"/>
              </w:rPr>
            </w:pPr>
            <w:r>
              <w:rPr>
                <w:rFonts w:hAnsiTheme="minorHAnsi" w:cstheme="minorHAnsi"/>
                <w:sz w:val="18"/>
                <w:szCs w:val="18"/>
              </w:rPr>
              <w:lastRenderedPageBreak/>
              <w:t>Phillips et al (2018)</w:t>
            </w:r>
          </w:p>
        </w:tc>
        <w:tc>
          <w:tcPr>
            <w:tcW w:w="290" w:type="pct"/>
            <w:vAlign w:val="center"/>
          </w:tcPr>
          <w:p w14:paraId="740E55C5" w14:textId="774D541E" w:rsidR="00D80A55" w:rsidRDefault="00D80A55" w:rsidP="00D80A55">
            <w:pPr>
              <w:pStyle w:val="Ingetavstnd"/>
              <w:jc w:val="center"/>
              <w:rPr>
                <w:rFonts w:hAnsiTheme="minorHAnsi" w:cstheme="minorHAnsi"/>
                <w:color w:val="000000"/>
                <w:sz w:val="18"/>
                <w:szCs w:val="18"/>
              </w:rPr>
            </w:pPr>
            <w:proofErr w:type="spellStart"/>
            <w:r>
              <w:rPr>
                <w:rFonts w:hAnsiTheme="minorHAnsi" w:cstheme="minorHAnsi"/>
                <w:color w:val="000000"/>
                <w:sz w:val="18"/>
                <w:szCs w:val="18"/>
              </w:rPr>
              <w:t>Swe</w:t>
            </w:r>
            <w:proofErr w:type="spellEnd"/>
          </w:p>
        </w:tc>
        <w:tc>
          <w:tcPr>
            <w:tcW w:w="260" w:type="pct"/>
            <w:vAlign w:val="center"/>
          </w:tcPr>
          <w:p w14:paraId="64FD4DE4" w14:textId="489768B0" w:rsidR="00D80A55" w:rsidRDefault="00D80A55" w:rsidP="00D80A55">
            <w:pPr>
              <w:pStyle w:val="Ingetavstnd"/>
              <w:jc w:val="center"/>
              <w:rPr>
                <w:rFonts w:hAnsiTheme="minorHAnsi" w:cstheme="minorHAnsi"/>
                <w:color w:val="000000"/>
                <w:sz w:val="18"/>
                <w:szCs w:val="18"/>
              </w:rPr>
            </w:pPr>
            <w:r>
              <w:rPr>
                <w:rFonts w:ascii="Segoe UI" w:hAnsi="Segoe UI" w:cs="Segoe UI"/>
                <w:sz w:val="18"/>
                <w:szCs w:val="18"/>
              </w:rPr>
              <w:t>15</w:t>
            </w:r>
            <w:bookmarkStart w:id="0" w:name="_GoBack"/>
            <w:bookmarkEnd w:id="0"/>
          </w:p>
        </w:tc>
        <w:tc>
          <w:tcPr>
            <w:tcW w:w="710" w:type="pct"/>
            <w:vAlign w:val="center"/>
          </w:tcPr>
          <w:p w14:paraId="64A2103F" w14:textId="7703D992" w:rsidR="00D80A55" w:rsidRPr="00A01261" w:rsidRDefault="00D80A55" w:rsidP="00D80A55">
            <w:pPr>
              <w:pStyle w:val="Ingetavstnd"/>
              <w:rPr>
                <w:rFonts w:hAnsiTheme="minorHAnsi" w:cstheme="minorHAnsi"/>
                <w:color w:val="000000"/>
                <w:sz w:val="18"/>
                <w:szCs w:val="18"/>
              </w:rPr>
            </w:pPr>
            <w:r>
              <w:rPr>
                <w:rFonts w:hAnsiTheme="minorHAnsi" w:cstheme="minorHAnsi"/>
                <w:sz w:val="18"/>
                <w:szCs w:val="18"/>
              </w:rPr>
              <w:t>Meniscus repair with simultaneous ACLR demonstrated similar clinical outcomes as isolated ACL repair: a result not seen with meniscus resection</w:t>
            </w:r>
          </w:p>
        </w:tc>
        <w:tc>
          <w:tcPr>
            <w:tcW w:w="477" w:type="pct"/>
            <w:vAlign w:val="center"/>
          </w:tcPr>
          <w:p w14:paraId="38563AB9" w14:textId="69BEA7DA" w:rsidR="00D80A55" w:rsidRPr="00A01261" w:rsidRDefault="00D80A55" w:rsidP="00D80A55">
            <w:pPr>
              <w:pStyle w:val="Ingetavstnd"/>
              <w:rPr>
                <w:rFonts w:hAnsiTheme="minorHAnsi" w:cstheme="minorHAnsi"/>
                <w:color w:val="000000"/>
                <w:sz w:val="18"/>
                <w:szCs w:val="18"/>
              </w:rPr>
            </w:pPr>
            <w:r>
              <w:rPr>
                <w:rFonts w:hAnsiTheme="minorHAnsi" w:cstheme="minorHAnsi"/>
                <w:sz w:val="18"/>
                <w:szCs w:val="18"/>
              </w:rPr>
              <w:t>To compare PROMs at 2-year follow-up between isolated ACLR and ACLR with simultaneous meniscal treatment.</w:t>
            </w:r>
          </w:p>
        </w:tc>
        <w:tc>
          <w:tcPr>
            <w:tcW w:w="574" w:type="pct"/>
            <w:vAlign w:val="center"/>
          </w:tcPr>
          <w:p w14:paraId="5F178C05" w14:textId="523A531A" w:rsidR="00D80A55" w:rsidRPr="00A01261" w:rsidRDefault="00D80A55" w:rsidP="00D80A55">
            <w:pPr>
              <w:pStyle w:val="Ingetavstnd"/>
              <w:rPr>
                <w:rFonts w:hAnsiTheme="minorHAnsi" w:cstheme="minorHAnsi"/>
                <w:color w:val="000000"/>
                <w:sz w:val="18"/>
                <w:szCs w:val="18"/>
              </w:rPr>
            </w:pPr>
            <w:r>
              <w:rPr>
                <w:rFonts w:hAnsiTheme="minorHAnsi" w:cstheme="minorHAnsi"/>
                <w:sz w:val="18"/>
                <w:szCs w:val="18"/>
              </w:rPr>
              <w:t>KOOS and EQ-5D</w:t>
            </w:r>
          </w:p>
        </w:tc>
        <w:tc>
          <w:tcPr>
            <w:tcW w:w="441" w:type="pct"/>
            <w:vAlign w:val="center"/>
          </w:tcPr>
          <w:p w14:paraId="25637A3A" w14:textId="2292DE6B" w:rsidR="00D80A55" w:rsidRDefault="00D80A55" w:rsidP="00D80A55">
            <w:pPr>
              <w:pStyle w:val="Ingetavstnd"/>
              <w:rPr>
                <w:rFonts w:hAnsiTheme="minorHAnsi" w:cstheme="minorHAnsi"/>
                <w:color w:val="000000"/>
                <w:sz w:val="18"/>
                <w:szCs w:val="18"/>
              </w:rPr>
            </w:pPr>
            <w:r>
              <w:rPr>
                <w:rFonts w:hAnsiTheme="minorHAnsi" w:cstheme="minorHAnsi"/>
                <w:sz w:val="18"/>
                <w:szCs w:val="18"/>
              </w:rPr>
              <w:t>N = 10,001</w:t>
            </w:r>
          </w:p>
        </w:tc>
        <w:tc>
          <w:tcPr>
            <w:tcW w:w="444" w:type="pct"/>
            <w:vAlign w:val="center"/>
          </w:tcPr>
          <w:p w14:paraId="7454D7D0" w14:textId="776B7DC4" w:rsidR="00D80A55" w:rsidRPr="00A01261" w:rsidRDefault="00D80A55" w:rsidP="00D80A55">
            <w:pPr>
              <w:pStyle w:val="Ingetavstnd"/>
              <w:rPr>
                <w:rFonts w:hAnsiTheme="minorHAnsi" w:cstheme="minorHAnsi"/>
                <w:color w:val="000000"/>
                <w:sz w:val="18"/>
                <w:szCs w:val="18"/>
              </w:rPr>
            </w:pPr>
            <w:r>
              <w:rPr>
                <w:rFonts w:hAnsiTheme="minorHAnsi" w:cstheme="minorHAnsi"/>
                <w:sz w:val="18"/>
                <w:szCs w:val="18"/>
              </w:rPr>
              <w:t>2 years</w:t>
            </w:r>
          </w:p>
        </w:tc>
        <w:tc>
          <w:tcPr>
            <w:tcW w:w="424" w:type="pct"/>
            <w:vAlign w:val="center"/>
          </w:tcPr>
          <w:p w14:paraId="75E8311C" w14:textId="71C4D2AB" w:rsidR="00D80A55" w:rsidRPr="00A01261" w:rsidRDefault="00D80A55" w:rsidP="00D80A55">
            <w:pPr>
              <w:pStyle w:val="Ingetavstnd"/>
              <w:rPr>
                <w:rFonts w:hAnsiTheme="minorHAnsi" w:cstheme="minorHAnsi"/>
                <w:color w:val="000000"/>
                <w:sz w:val="18"/>
                <w:szCs w:val="18"/>
              </w:rPr>
            </w:pPr>
            <w:r>
              <w:rPr>
                <w:rFonts w:hAnsiTheme="minorHAnsi" w:cstheme="minorHAnsi"/>
                <w:sz w:val="18"/>
                <w:szCs w:val="18"/>
              </w:rPr>
              <w:t>Linear regression</w:t>
            </w:r>
          </w:p>
        </w:tc>
        <w:tc>
          <w:tcPr>
            <w:tcW w:w="932" w:type="pct"/>
            <w:vAlign w:val="center"/>
          </w:tcPr>
          <w:p w14:paraId="67B0E466" w14:textId="26D2DDBD" w:rsidR="00D80A55" w:rsidRPr="00A01261" w:rsidRDefault="00D80A55" w:rsidP="00D80A55">
            <w:pPr>
              <w:pStyle w:val="Ingetavstnd"/>
              <w:rPr>
                <w:rFonts w:hAnsiTheme="minorHAnsi" w:cstheme="minorHAnsi"/>
                <w:color w:val="000000"/>
                <w:sz w:val="18"/>
                <w:szCs w:val="18"/>
              </w:rPr>
            </w:pPr>
            <w:r>
              <w:rPr>
                <w:rFonts w:hAnsiTheme="minorHAnsi" w:cstheme="minorHAnsi"/>
                <w:sz w:val="18"/>
                <w:szCs w:val="18"/>
              </w:rPr>
              <w:t xml:space="preserve">Simultaneous meniscus resection resulted in worse PROMs compared with isolated ACLR, while meniscus repair showed similar PROMs as isolated ACLR. Time from injury to surgery &lt;12 weeks resulted in superior PROMs compared with &gt;12 weeks. Worse PROMs were found with grade 3-4 cartilage lesions compared with grade 1-2. Surgical technique in terms of </w:t>
            </w:r>
            <w:proofErr w:type="spellStart"/>
            <w:r>
              <w:rPr>
                <w:rFonts w:hAnsiTheme="minorHAnsi" w:cstheme="minorHAnsi"/>
                <w:sz w:val="18"/>
                <w:szCs w:val="18"/>
              </w:rPr>
              <w:t>transtibial</w:t>
            </w:r>
            <w:proofErr w:type="spellEnd"/>
            <w:r>
              <w:rPr>
                <w:rFonts w:hAnsiTheme="minorHAnsi" w:cstheme="minorHAnsi"/>
                <w:sz w:val="18"/>
                <w:szCs w:val="18"/>
              </w:rPr>
              <w:t xml:space="preserve"> or </w:t>
            </w:r>
            <w:proofErr w:type="spellStart"/>
            <w:r>
              <w:rPr>
                <w:rFonts w:hAnsiTheme="minorHAnsi" w:cstheme="minorHAnsi"/>
                <w:sz w:val="18"/>
                <w:szCs w:val="18"/>
              </w:rPr>
              <w:t>transportal</w:t>
            </w:r>
            <w:proofErr w:type="spellEnd"/>
            <w:r>
              <w:rPr>
                <w:rFonts w:hAnsiTheme="minorHAnsi" w:cstheme="minorHAnsi"/>
                <w:sz w:val="18"/>
                <w:szCs w:val="18"/>
              </w:rPr>
              <w:t xml:space="preserve"> drilling did not influence PROMs at 2 years. </w:t>
            </w:r>
          </w:p>
        </w:tc>
      </w:tr>
      <w:tr w:rsidR="00D80A55" w:rsidRPr="00A01261" w14:paraId="76878F64" w14:textId="77777777" w:rsidTr="00D80A55">
        <w:tc>
          <w:tcPr>
            <w:tcW w:w="448" w:type="pct"/>
            <w:vAlign w:val="center"/>
          </w:tcPr>
          <w:p w14:paraId="467E451E" w14:textId="34CA9100" w:rsidR="00D80A55" w:rsidRDefault="00D80A55" w:rsidP="00D80A55">
            <w:pPr>
              <w:pStyle w:val="Ingetavstnd"/>
              <w:rPr>
                <w:rFonts w:hAnsiTheme="minorHAnsi" w:cstheme="minorHAnsi"/>
                <w:sz w:val="18"/>
                <w:szCs w:val="18"/>
              </w:rPr>
            </w:pPr>
            <w:proofErr w:type="spellStart"/>
            <w:r w:rsidRPr="00A01261">
              <w:rPr>
                <w:rFonts w:hAnsiTheme="minorHAnsi" w:cstheme="minorHAnsi"/>
                <w:sz w:val="18"/>
                <w:szCs w:val="18"/>
              </w:rPr>
              <w:t>Rahr</w:t>
            </w:r>
            <w:proofErr w:type="spellEnd"/>
            <w:r w:rsidRPr="00A01261">
              <w:rPr>
                <w:rFonts w:hAnsiTheme="minorHAnsi" w:cstheme="minorHAnsi"/>
                <w:sz w:val="18"/>
                <w:szCs w:val="18"/>
              </w:rPr>
              <w:t>-Wagner</w:t>
            </w:r>
            <w:r>
              <w:rPr>
                <w:rFonts w:hAnsiTheme="minorHAnsi" w:cstheme="minorHAnsi"/>
                <w:sz w:val="18"/>
                <w:szCs w:val="18"/>
              </w:rPr>
              <w:t xml:space="preserve"> et al</w:t>
            </w:r>
            <w:r w:rsidRPr="00A01261">
              <w:rPr>
                <w:rFonts w:hAnsiTheme="minorHAnsi" w:cstheme="minorHAnsi"/>
                <w:sz w:val="18"/>
                <w:szCs w:val="18"/>
              </w:rPr>
              <w:t xml:space="preserve"> (2013) </w:t>
            </w:r>
          </w:p>
        </w:tc>
        <w:tc>
          <w:tcPr>
            <w:tcW w:w="290" w:type="pct"/>
            <w:vAlign w:val="center"/>
          </w:tcPr>
          <w:p w14:paraId="7948D830" w14:textId="015A3CE1" w:rsidR="00D80A55" w:rsidRDefault="00D80A55" w:rsidP="00D80A55">
            <w:pPr>
              <w:pStyle w:val="Ingetavstnd"/>
              <w:jc w:val="center"/>
              <w:rPr>
                <w:rFonts w:hAnsiTheme="minorHAnsi" w:cstheme="minorHAnsi"/>
                <w:color w:val="000000"/>
                <w:sz w:val="18"/>
                <w:szCs w:val="18"/>
              </w:rPr>
            </w:pPr>
            <w:r>
              <w:rPr>
                <w:rFonts w:hAnsiTheme="minorHAnsi" w:cstheme="minorHAnsi"/>
                <w:color w:val="000000"/>
                <w:sz w:val="18"/>
                <w:szCs w:val="18"/>
              </w:rPr>
              <w:t>Den</w:t>
            </w:r>
          </w:p>
        </w:tc>
        <w:tc>
          <w:tcPr>
            <w:tcW w:w="260" w:type="pct"/>
            <w:vAlign w:val="center"/>
          </w:tcPr>
          <w:p w14:paraId="7635C9A5" w14:textId="3AA28C08" w:rsidR="00D80A55" w:rsidRPr="00A01261" w:rsidRDefault="00D80A55" w:rsidP="00D80A55">
            <w:pPr>
              <w:pStyle w:val="Ingetavstnd"/>
              <w:jc w:val="center"/>
              <w:rPr>
                <w:rFonts w:hAnsiTheme="minorHAnsi" w:cstheme="minorHAnsi"/>
                <w:color w:val="000000"/>
                <w:sz w:val="18"/>
                <w:szCs w:val="18"/>
              </w:rPr>
            </w:pPr>
            <w:r>
              <w:rPr>
                <w:rFonts w:hAnsiTheme="minorHAnsi" w:cstheme="minorHAnsi"/>
                <w:color w:val="000000"/>
                <w:sz w:val="18"/>
                <w:szCs w:val="18"/>
              </w:rPr>
              <w:t>16</w:t>
            </w:r>
          </w:p>
        </w:tc>
        <w:tc>
          <w:tcPr>
            <w:tcW w:w="710" w:type="pct"/>
            <w:vAlign w:val="center"/>
          </w:tcPr>
          <w:p w14:paraId="752E6743" w14:textId="5A31C32F" w:rsidR="00D80A55" w:rsidRPr="00A01261" w:rsidRDefault="00D80A55" w:rsidP="00D80A55">
            <w:pPr>
              <w:pStyle w:val="Ingetavstnd"/>
              <w:rPr>
                <w:rFonts w:hAnsiTheme="minorHAnsi" w:cstheme="minorHAnsi"/>
                <w:color w:val="000000"/>
                <w:sz w:val="18"/>
                <w:szCs w:val="18"/>
              </w:rPr>
            </w:pPr>
            <w:r w:rsidRPr="00A01261">
              <w:rPr>
                <w:rFonts w:hAnsiTheme="minorHAnsi" w:cstheme="minorHAnsi"/>
                <w:color w:val="000000"/>
                <w:sz w:val="18"/>
                <w:szCs w:val="18"/>
              </w:rPr>
              <w:t xml:space="preserve">Increased Risk of Revision After Anteromedial Compared With </w:t>
            </w:r>
            <w:proofErr w:type="spellStart"/>
            <w:r w:rsidRPr="00A01261">
              <w:rPr>
                <w:rFonts w:hAnsiTheme="minorHAnsi" w:cstheme="minorHAnsi"/>
                <w:color w:val="000000"/>
                <w:sz w:val="18"/>
                <w:szCs w:val="18"/>
              </w:rPr>
              <w:t>Transtibial</w:t>
            </w:r>
            <w:proofErr w:type="spellEnd"/>
            <w:r w:rsidRPr="00A01261">
              <w:rPr>
                <w:rFonts w:hAnsiTheme="minorHAnsi" w:cstheme="minorHAnsi"/>
                <w:color w:val="000000"/>
                <w:sz w:val="18"/>
                <w:szCs w:val="18"/>
              </w:rPr>
              <w:t xml:space="preserve"> Drilling of the Femoral Tunnel During Primary</w:t>
            </w:r>
            <w:r>
              <w:rPr>
                <w:rFonts w:hAnsiTheme="minorHAnsi" w:cstheme="minorHAnsi"/>
                <w:color w:val="000000"/>
                <w:sz w:val="18"/>
                <w:szCs w:val="18"/>
              </w:rPr>
              <w:t xml:space="preserve"> </w:t>
            </w:r>
            <w:r w:rsidRPr="00A01261">
              <w:rPr>
                <w:rFonts w:hAnsiTheme="minorHAnsi" w:cstheme="minorHAnsi"/>
                <w:color w:val="000000"/>
                <w:sz w:val="18"/>
                <w:szCs w:val="18"/>
              </w:rPr>
              <w:t>ACL Recons</w:t>
            </w:r>
            <w:r>
              <w:rPr>
                <w:rFonts w:hAnsiTheme="minorHAnsi" w:cstheme="minorHAnsi"/>
                <w:color w:val="000000"/>
                <w:sz w:val="18"/>
                <w:szCs w:val="18"/>
              </w:rPr>
              <w:t>truction: Results from the DKRR</w:t>
            </w:r>
          </w:p>
        </w:tc>
        <w:tc>
          <w:tcPr>
            <w:tcW w:w="477" w:type="pct"/>
            <w:vAlign w:val="center"/>
          </w:tcPr>
          <w:p w14:paraId="103C6D9A" w14:textId="325F2CA6" w:rsidR="00D80A55" w:rsidRPr="00A01261" w:rsidRDefault="00D80A55" w:rsidP="00D80A55">
            <w:pPr>
              <w:pStyle w:val="Ingetavstnd"/>
              <w:rPr>
                <w:rFonts w:hAnsiTheme="minorHAnsi" w:cstheme="minorHAnsi"/>
                <w:color w:val="000000"/>
                <w:sz w:val="18"/>
                <w:szCs w:val="18"/>
              </w:rPr>
            </w:pPr>
            <w:r w:rsidRPr="00A01261">
              <w:rPr>
                <w:rFonts w:hAnsiTheme="minorHAnsi" w:cstheme="minorHAnsi"/>
                <w:color w:val="000000"/>
                <w:sz w:val="18"/>
                <w:szCs w:val="18"/>
              </w:rPr>
              <w:t xml:space="preserve">To compare the revision rates and clinical outcomes between </w:t>
            </w:r>
            <w:r>
              <w:rPr>
                <w:rFonts w:hAnsiTheme="minorHAnsi" w:cstheme="minorHAnsi"/>
                <w:color w:val="000000"/>
                <w:sz w:val="18"/>
                <w:szCs w:val="18"/>
              </w:rPr>
              <w:t xml:space="preserve">the </w:t>
            </w:r>
            <w:r w:rsidRPr="00A01261">
              <w:rPr>
                <w:rFonts w:hAnsiTheme="minorHAnsi" w:cstheme="minorHAnsi"/>
                <w:color w:val="000000"/>
                <w:sz w:val="18"/>
                <w:szCs w:val="18"/>
              </w:rPr>
              <w:t>AM and TT drilling technique</w:t>
            </w:r>
            <w:r>
              <w:rPr>
                <w:rFonts w:hAnsiTheme="minorHAnsi" w:cstheme="minorHAnsi"/>
                <w:color w:val="000000"/>
                <w:sz w:val="18"/>
                <w:szCs w:val="18"/>
              </w:rPr>
              <w:t>s</w:t>
            </w:r>
          </w:p>
        </w:tc>
        <w:tc>
          <w:tcPr>
            <w:tcW w:w="574" w:type="pct"/>
            <w:vAlign w:val="center"/>
          </w:tcPr>
          <w:p w14:paraId="794574F3" w14:textId="0840A704" w:rsidR="00D80A55" w:rsidRPr="00A01261" w:rsidRDefault="00D80A55" w:rsidP="00D80A55">
            <w:pPr>
              <w:pStyle w:val="Ingetavstnd"/>
              <w:rPr>
                <w:rFonts w:hAnsiTheme="minorHAnsi" w:cstheme="minorHAnsi"/>
                <w:color w:val="000000"/>
                <w:sz w:val="18"/>
                <w:szCs w:val="18"/>
              </w:rPr>
            </w:pPr>
            <w:r w:rsidRPr="00A01261">
              <w:rPr>
                <w:rFonts w:hAnsiTheme="minorHAnsi" w:cstheme="minorHAnsi"/>
                <w:color w:val="000000"/>
                <w:sz w:val="18"/>
                <w:szCs w:val="18"/>
              </w:rPr>
              <w:t xml:space="preserve">Revision, KT-1000 and </w:t>
            </w:r>
            <w:r>
              <w:rPr>
                <w:rFonts w:hAnsiTheme="minorHAnsi" w:cstheme="minorHAnsi"/>
                <w:color w:val="000000"/>
                <w:sz w:val="18"/>
                <w:szCs w:val="18"/>
              </w:rPr>
              <w:t>p</w:t>
            </w:r>
            <w:r w:rsidRPr="00A01261">
              <w:rPr>
                <w:rFonts w:hAnsiTheme="minorHAnsi" w:cstheme="minorHAnsi"/>
                <w:color w:val="000000"/>
                <w:sz w:val="18"/>
                <w:szCs w:val="18"/>
              </w:rPr>
              <w:t xml:space="preserve">ivot shift, KOOS and </w:t>
            </w:r>
            <w:proofErr w:type="spellStart"/>
            <w:r w:rsidRPr="00A01261">
              <w:rPr>
                <w:rFonts w:hAnsiTheme="minorHAnsi" w:cstheme="minorHAnsi"/>
                <w:color w:val="000000"/>
                <w:sz w:val="18"/>
                <w:szCs w:val="18"/>
              </w:rPr>
              <w:t>Tegner</w:t>
            </w:r>
            <w:proofErr w:type="spellEnd"/>
          </w:p>
        </w:tc>
        <w:tc>
          <w:tcPr>
            <w:tcW w:w="441" w:type="pct"/>
            <w:vAlign w:val="center"/>
          </w:tcPr>
          <w:p w14:paraId="78A47D78" w14:textId="3353EC3E" w:rsidR="00D80A55" w:rsidRPr="00A01261" w:rsidRDefault="00D80A55" w:rsidP="00D80A55">
            <w:pPr>
              <w:pStyle w:val="Ingetavstnd"/>
              <w:rPr>
                <w:rFonts w:hAnsiTheme="minorHAnsi" w:cstheme="minorHAnsi"/>
                <w:color w:val="000000"/>
                <w:sz w:val="18"/>
                <w:szCs w:val="18"/>
              </w:rPr>
            </w:pPr>
            <w:r>
              <w:rPr>
                <w:rFonts w:hAnsiTheme="minorHAnsi" w:cstheme="minorHAnsi"/>
                <w:color w:val="000000"/>
                <w:sz w:val="18"/>
                <w:szCs w:val="18"/>
              </w:rPr>
              <w:t>N</w:t>
            </w:r>
            <w:r w:rsidRPr="00A01261">
              <w:rPr>
                <w:rFonts w:hAnsiTheme="minorHAnsi" w:cstheme="minorHAnsi"/>
                <w:color w:val="000000"/>
                <w:sz w:val="18"/>
                <w:szCs w:val="18"/>
              </w:rPr>
              <w:t xml:space="preserve"> = 8,375</w:t>
            </w:r>
          </w:p>
        </w:tc>
        <w:tc>
          <w:tcPr>
            <w:tcW w:w="444" w:type="pct"/>
            <w:vAlign w:val="center"/>
          </w:tcPr>
          <w:p w14:paraId="596E53B6" w14:textId="5754B6BC" w:rsidR="00D80A55" w:rsidRPr="00A01261" w:rsidRDefault="00D80A55" w:rsidP="00D80A55">
            <w:pPr>
              <w:pStyle w:val="Ingetavstnd"/>
              <w:rPr>
                <w:rFonts w:hAnsiTheme="minorHAnsi" w:cstheme="minorHAnsi"/>
                <w:color w:val="000000"/>
                <w:sz w:val="18"/>
                <w:szCs w:val="18"/>
              </w:rPr>
            </w:pPr>
            <w:r w:rsidRPr="00A01261">
              <w:rPr>
                <w:rFonts w:hAnsiTheme="minorHAnsi" w:cstheme="minorHAnsi"/>
                <w:color w:val="000000"/>
                <w:sz w:val="18"/>
                <w:szCs w:val="18"/>
              </w:rPr>
              <w:t>Mean 1.05 y</w:t>
            </w:r>
            <w:r>
              <w:rPr>
                <w:rFonts w:hAnsiTheme="minorHAnsi" w:cstheme="minorHAnsi"/>
                <w:color w:val="000000"/>
                <w:sz w:val="18"/>
                <w:szCs w:val="18"/>
              </w:rPr>
              <w:t>ears</w:t>
            </w:r>
          </w:p>
        </w:tc>
        <w:tc>
          <w:tcPr>
            <w:tcW w:w="424" w:type="pct"/>
            <w:vAlign w:val="center"/>
          </w:tcPr>
          <w:p w14:paraId="788E5557" w14:textId="0E7665CD" w:rsidR="00D80A55" w:rsidRPr="00A01261" w:rsidRDefault="00D80A55" w:rsidP="00D80A55">
            <w:pPr>
              <w:pStyle w:val="Ingetavstnd"/>
              <w:rPr>
                <w:rFonts w:hAnsiTheme="minorHAnsi" w:cstheme="minorHAnsi"/>
                <w:color w:val="000000"/>
                <w:sz w:val="18"/>
                <w:szCs w:val="18"/>
              </w:rPr>
            </w:pPr>
            <w:r w:rsidRPr="00A01261">
              <w:rPr>
                <w:rFonts w:hAnsiTheme="minorHAnsi" w:cstheme="minorHAnsi"/>
                <w:color w:val="000000"/>
                <w:sz w:val="18"/>
                <w:szCs w:val="18"/>
              </w:rPr>
              <w:t xml:space="preserve">Kaplan-Meier and Cox regression </w:t>
            </w:r>
          </w:p>
        </w:tc>
        <w:tc>
          <w:tcPr>
            <w:tcW w:w="932" w:type="pct"/>
            <w:vAlign w:val="center"/>
          </w:tcPr>
          <w:p w14:paraId="076CDDD9" w14:textId="605D5F5D" w:rsidR="00D80A55" w:rsidRDefault="00D80A55" w:rsidP="00D80A55">
            <w:pPr>
              <w:pStyle w:val="Ingetavstnd"/>
              <w:rPr>
                <w:rFonts w:hAnsiTheme="minorHAnsi" w:cstheme="minorHAnsi"/>
                <w:color w:val="000000"/>
                <w:sz w:val="18"/>
                <w:szCs w:val="18"/>
              </w:rPr>
            </w:pPr>
            <w:r w:rsidRPr="00A01261">
              <w:rPr>
                <w:rFonts w:hAnsiTheme="minorHAnsi" w:cstheme="minorHAnsi"/>
                <w:color w:val="000000"/>
                <w:sz w:val="18"/>
                <w:szCs w:val="18"/>
              </w:rPr>
              <w:t>The AM technique resulted in a higher risk of revision than the TT technique and was associated with more objective instability.</w:t>
            </w:r>
            <w:r>
              <w:rPr>
                <w:rFonts w:hAnsiTheme="minorHAnsi" w:cstheme="minorHAnsi"/>
                <w:color w:val="000000"/>
                <w:sz w:val="18"/>
                <w:szCs w:val="18"/>
              </w:rPr>
              <w:t xml:space="preserve"> No difference was seen in the PROMs between the techniques. </w:t>
            </w:r>
          </w:p>
        </w:tc>
      </w:tr>
      <w:tr w:rsidR="00D80A55" w:rsidRPr="00A01261" w14:paraId="0B437B01" w14:textId="77777777" w:rsidTr="00D80A55">
        <w:tc>
          <w:tcPr>
            <w:tcW w:w="448" w:type="pct"/>
            <w:vAlign w:val="center"/>
          </w:tcPr>
          <w:p w14:paraId="7117E946" w14:textId="26D39510" w:rsidR="00D80A55" w:rsidRPr="00A01261" w:rsidRDefault="00D80A55" w:rsidP="00D80A55">
            <w:pPr>
              <w:pStyle w:val="Ingetavstnd"/>
              <w:rPr>
                <w:rFonts w:hAnsiTheme="minorHAnsi" w:cstheme="minorHAnsi"/>
                <w:sz w:val="18"/>
                <w:szCs w:val="18"/>
              </w:rPr>
            </w:pPr>
            <w:proofErr w:type="spellStart"/>
            <w:r w:rsidRPr="00A01261">
              <w:rPr>
                <w:rFonts w:hAnsiTheme="minorHAnsi" w:cstheme="minorHAnsi"/>
                <w:sz w:val="18"/>
                <w:szCs w:val="18"/>
              </w:rPr>
              <w:t>Rahr</w:t>
            </w:r>
            <w:proofErr w:type="spellEnd"/>
            <w:r w:rsidRPr="00A01261">
              <w:rPr>
                <w:rFonts w:hAnsiTheme="minorHAnsi" w:cstheme="minorHAnsi"/>
                <w:sz w:val="18"/>
                <w:szCs w:val="18"/>
              </w:rPr>
              <w:t>-Wagner</w:t>
            </w:r>
            <w:r>
              <w:rPr>
                <w:rFonts w:hAnsiTheme="minorHAnsi" w:cstheme="minorHAnsi"/>
                <w:sz w:val="18"/>
                <w:szCs w:val="18"/>
              </w:rPr>
              <w:t xml:space="preserve"> et al</w:t>
            </w:r>
            <w:r w:rsidRPr="00A01261">
              <w:rPr>
                <w:rFonts w:hAnsiTheme="minorHAnsi" w:cstheme="minorHAnsi"/>
                <w:sz w:val="18"/>
                <w:szCs w:val="18"/>
              </w:rPr>
              <w:t xml:space="preserve"> (2013) </w:t>
            </w:r>
          </w:p>
        </w:tc>
        <w:tc>
          <w:tcPr>
            <w:tcW w:w="290" w:type="pct"/>
            <w:vAlign w:val="center"/>
          </w:tcPr>
          <w:p w14:paraId="1BB83B53" w14:textId="07821CDB" w:rsidR="00D80A55" w:rsidRPr="00A01261" w:rsidRDefault="00D80A55" w:rsidP="00D80A55">
            <w:pPr>
              <w:pStyle w:val="Ingetavstnd"/>
              <w:jc w:val="center"/>
              <w:rPr>
                <w:rFonts w:hAnsiTheme="minorHAnsi" w:cstheme="minorHAnsi"/>
                <w:color w:val="000000"/>
                <w:sz w:val="18"/>
                <w:szCs w:val="18"/>
              </w:rPr>
            </w:pPr>
            <w:r>
              <w:rPr>
                <w:rFonts w:hAnsiTheme="minorHAnsi" w:cstheme="minorHAnsi"/>
                <w:color w:val="000000"/>
                <w:sz w:val="18"/>
                <w:szCs w:val="18"/>
              </w:rPr>
              <w:t>Den</w:t>
            </w:r>
          </w:p>
        </w:tc>
        <w:tc>
          <w:tcPr>
            <w:tcW w:w="260" w:type="pct"/>
            <w:vAlign w:val="center"/>
          </w:tcPr>
          <w:p w14:paraId="0F2AD2F2" w14:textId="02B76832" w:rsidR="00D80A55" w:rsidRPr="00A01261" w:rsidRDefault="00D80A55" w:rsidP="00D80A55">
            <w:pPr>
              <w:pStyle w:val="Ingetavstnd"/>
              <w:jc w:val="center"/>
              <w:rPr>
                <w:rFonts w:hAnsiTheme="minorHAnsi" w:cstheme="minorHAnsi"/>
                <w:color w:val="000000"/>
                <w:sz w:val="18"/>
                <w:szCs w:val="18"/>
              </w:rPr>
            </w:pPr>
            <w:r>
              <w:rPr>
                <w:rFonts w:hAnsiTheme="minorHAnsi" w:cstheme="minorHAnsi"/>
                <w:color w:val="000000"/>
                <w:sz w:val="18"/>
                <w:szCs w:val="18"/>
              </w:rPr>
              <w:t>14</w:t>
            </w:r>
          </w:p>
        </w:tc>
        <w:tc>
          <w:tcPr>
            <w:tcW w:w="710" w:type="pct"/>
            <w:vAlign w:val="center"/>
          </w:tcPr>
          <w:p w14:paraId="3D5D19DE" w14:textId="0885C6DD" w:rsidR="00D80A55" w:rsidRPr="00A01261" w:rsidRDefault="00D80A55" w:rsidP="00D80A55">
            <w:pPr>
              <w:pStyle w:val="Ingetavstnd"/>
              <w:rPr>
                <w:rFonts w:hAnsiTheme="minorHAnsi" w:cstheme="minorHAnsi"/>
                <w:sz w:val="18"/>
                <w:szCs w:val="18"/>
              </w:rPr>
            </w:pPr>
            <w:r w:rsidRPr="00A01261">
              <w:rPr>
                <w:rFonts w:hAnsiTheme="minorHAnsi" w:cstheme="minorHAnsi"/>
                <w:color w:val="000000"/>
                <w:sz w:val="18"/>
                <w:szCs w:val="18"/>
              </w:rPr>
              <w:t>Validation of 14,500 operated knees registered in the Danish Knee Ligament Reconstruction Register: registration completeness and validity of key variables</w:t>
            </w:r>
          </w:p>
        </w:tc>
        <w:tc>
          <w:tcPr>
            <w:tcW w:w="477" w:type="pct"/>
            <w:vAlign w:val="center"/>
          </w:tcPr>
          <w:p w14:paraId="37B621CE" w14:textId="6E96D772" w:rsidR="00D80A55" w:rsidRPr="00A01261" w:rsidRDefault="00D80A55" w:rsidP="00D80A55">
            <w:pPr>
              <w:pStyle w:val="Ingetavstnd"/>
              <w:rPr>
                <w:rFonts w:hAnsiTheme="minorHAnsi" w:cstheme="minorHAnsi"/>
                <w:sz w:val="18"/>
                <w:szCs w:val="18"/>
              </w:rPr>
            </w:pPr>
            <w:r w:rsidRPr="00A01261">
              <w:rPr>
                <w:rFonts w:hAnsiTheme="minorHAnsi" w:cstheme="minorHAnsi"/>
                <w:color w:val="000000"/>
                <w:sz w:val="18"/>
                <w:szCs w:val="18"/>
              </w:rPr>
              <w:t>To asses</w:t>
            </w:r>
            <w:r>
              <w:rPr>
                <w:rFonts w:hAnsiTheme="minorHAnsi" w:cstheme="minorHAnsi"/>
                <w:color w:val="000000"/>
                <w:sz w:val="18"/>
                <w:szCs w:val="18"/>
              </w:rPr>
              <w:t xml:space="preserve"> </w:t>
            </w:r>
            <w:r w:rsidRPr="00A01261">
              <w:rPr>
                <w:rFonts w:hAnsiTheme="minorHAnsi" w:cstheme="minorHAnsi"/>
                <w:color w:val="000000"/>
                <w:sz w:val="18"/>
                <w:szCs w:val="18"/>
              </w:rPr>
              <w:t>completeness, data quality and differences between respond</w:t>
            </w:r>
            <w:r>
              <w:rPr>
                <w:rFonts w:hAnsiTheme="minorHAnsi" w:cstheme="minorHAnsi"/>
                <w:color w:val="000000"/>
                <w:sz w:val="18"/>
                <w:szCs w:val="18"/>
              </w:rPr>
              <w:t>ers and non-responders in the DKR</w:t>
            </w:r>
            <w:r w:rsidRPr="00A01261">
              <w:rPr>
                <w:rFonts w:hAnsiTheme="minorHAnsi" w:cstheme="minorHAnsi"/>
                <w:color w:val="000000"/>
                <w:sz w:val="18"/>
                <w:szCs w:val="18"/>
              </w:rPr>
              <w:t>R</w:t>
            </w:r>
          </w:p>
        </w:tc>
        <w:tc>
          <w:tcPr>
            <w:tcW w:w="574" w:type="pct"/>
            <w:vAlign w:val="center"/>
          </w:tcPr>
          <w:p w14:paraId="613BB29A" w14:textId="5E7B6643" w:rsidR="00D80A55" w:rsidRPr="00A01261" w:rsidRDefault="00D80A55" w:rsidP="00D80A55">
            <w:pPr>
              <w:pStyle w:val="Ingetavstnd"/>
              <w:rPr>
                <w:rFonts w:hAnsiTheme="minorHAnsi" w:cstheme="minorHAnsi"/>
                <w:sz w:val="18"/>
                <w:szCs w:val="18"/>
              </w:rPr>
            </w:pPr>
            <w:r w:rsidRPr="00A01261">
              <w:rPr>
                <w:rFonts w:hAnsiTheme="minorHAnsi" w:cstheme="minorHAnsi"/>
                <w:color w:val="000000"/>
                <w:sz w:val="18"/>
                <w:szCs w:val="18"/>
              </w:rPr>
              <w:t>Completeness of registration</w:t>
            </w:r>
            <w:r>
              <w:rPr>
                <w:rFonts w:hAnsiTheme="minorHAnsi" w:cstheme="minorHAnsi"/>
                <w:color w:val="000000"/>
                <w:sz w:val="18"/>
                <w:szCs w:val="18"/>
              </w:rPr>
              <w:t xml:space="preserve">. KOOS and </w:t>
            </w:r>
            <w:proofErr w:type="spellStart"/>
            <w:r>
              <w:rPr>
                <w:rFonts w:hAnsiTheme="minorHAnsi" w:cstheme="minorHAnsi"/>
                <w:color w:val="000000"/>
                <w:sz w:val="18"/>
                <w:szCs w:val="18"/>
              </w:rPr>
              <w:t>T</w:t>
            </w:r>
            <w:r w:rsidRPr="00A01261">
              <w:rPr>
                <w:rFonts w:hAnsiTheme="minorHAnsi" w:cstheme="minorHAnsi"/>
                <w:color w:val="000000"/>
                <w:sz w:val="18"/>
                <w:szCs w:val="18"/>
              </w:rPr>
              <w:t>egner</w:t>
            </w:r>
            <w:proofErr w:type="spellEnd"/>
            <w:r w:rsidRPr="00A01261">
              <w:rPr>
                <w:rFonts w:hAnsiTheme="minorHAnsi" w:cstheme="minorHAnsi"/>
                <w:color w:val="000000"/>
                <w:sz w:val="18"/>
                <w:szCs w:val="18"/>
              </w:rPr>
              <w:t xml:space="preserve"> </w:t>
            </w:r>
          </w:p>
        </w:tc>
        <w:tc>
          <w:tcPr>
            <w:tcW w:w="441" w:type="pct"/>
            <w:vAlign w:val="center"/>
          </w:tcPr>
          <w:p w14:paraId="4A3FA4D2" w14:textId="3F0EFFD1" w:rsidR="00D80A55" w:rsidRPr="00A01261" w:rsidRDefault="00D80A55" w:rsidP="00D80A55">
            <w:pPr>
              <w:pStyle w:val="Ingetavstnd"/>
              <w:rPr>
                <w:rFonts w:hAnsiTheme="minorHAnsi" w:cstheme="minorHAnsi"/>
                <w:sz w:val="18"/>
                <w:szCs w:val="18"/>
              </w:rPr>
            </w:pPr>
            <w:r w:rsidRPr="00A01261">
              <w:rPr>
                <w:rFonts w:hAnsiTheme="minorHAnsi" w:cstheme="minorHAnsi"/>
                <w:color w:val="000000"/>
                <w:sz w:val="18"/>
                <w:szCs w:val="18"/>
              </w:rPr>
              <w:t>N</w:t>
            </w:r>
            <w:r>
              <w:rPr>
                <w:rFonts w:hAnsiTheme="minorHAnsi" w:cstheme="minorHAnsi"/>
                <w:color w:val="000000"/>
                <w:sz w:val="18"/>
                <w:szCs w:val="18"/>
              </w:rPr>
              <w:t xml:space="preserve"> </w:t>
            </w:r>
            <w:r w:rsidRPr="00A01261">
              <w:rPr>
                <w:rFonts w:hAnsiTheme="minorHAnsi" w:cstheme="minorHAnsi"/>
                <w:color w:val="000000"/>
                <w:sz w:val="18"/>
                <w:szCs w:val="18"/>
              </w:rPr>
              <w:t>=</w:t>
            </w:r>
            <w:r>
              <w:rPr>
                <w:rFonts w:hAnsiTheme="minorHAnsi" w:cstheme="minorHAnsi"/>
                <w:color w:val="000000"/>
                <w:sz w:val="18"/>
                <w:szCs w:val="18"/>
              </w:rPr>
              <w:t xml:space="preserve"> </w:t>
            </w:r>
            <w:r w:rsidRPr="00A01261">
              <w:rPr>
                <w:rFonts w:hAnsiTheme="minorHAnsi" w:cstheme="minorHAnsi"/>
                <w:color w:val="000000"/>
                <w:sz w:val="18"/>
                <w:szCs w:val="18"/>
              </w:rPr>
              <w:t xml:space="preserve">14,500 </w:t>
            </w:r>
          </w:p>
        </w:tc>
        <w:tc>
          <w:tcPr>
            <w:tcW w:w="444" w:type="pct"/>
            <w:vAlign w:val="center"/>
          </w:tcPr>
          <w:p w14:paraId="06A2F531" w14:textId="63731CF6" w:rsidR="00D80A55" w:rsidRPr="00A01261" w:rsidRDefault="00D80A55" w:rsidP="00D80A55">
            <w:pPr>
              <w:pStyle w:val="Ingetavstnd"/>
              <w:rPr>
                <w:rFonts w:hAnsiTheme="minorHAnsi" w:cstheme="minorHAnsi"/>
                <w:sz w:val="18"/>
                <w:szCs w:val="18"/>
              </w:rPr>
            </w:pPr>
            <w:r w:rsidRPr="00A01261">
              <w:rPr>
                <w:rFonts w:hAnsiTheme="minorHAnsi" w:cstheme="minorHAnsi"/>
                <w:color w:val="000000"/>
                <w:sz w:val="18"/>
                <w:szCs w:val="18"/>
              </w:rPr>
              <w:t>1 y</w:t>
            </w:r>
            <w:r>
              <w:rPr>
                <w:rFonts w:hAnsiTheme="minorHAnsi" w:cstheme="minorHAnsi"/>
                <w:color w:val="000000"/>
                <w:sz w:val="18"/>
                <w:szCs w:val="18"/>
              </w:rPr>
              <w:t>ear</w:t>
            </w:r>
            <w:r w:rsidRPr="00A01261">
              <w:rPr>
                <w:rFonts w:hAnsiTheme="minorHAnsi" w:cstheme="minorHAnsi"/>
                <w:color w:val="000000"/>
                <w:sz w:val="18"/>
                <w:szCs w:val="18"/>
              </w:rPr>
              <w:t xml:space="preserve"> </w:t>
            </w:r>
          </w:p>
        </w:tc>
        <w:tc>
          <w:tcPr>
            <w:tcW w:w="424" w:type="pct"/>
            <w:vAlign w:val="center"/>
          </w:tcPr>
          <w:p w14:paraId="34A517AB" w14:textId="5DBDF117" w:rsidR="00D80A55" w:rsidRPr="00A01261" w:rsidRDefault="00D80A55" w:rsidP="00D80A55">
            <w:pPr>
              <w:pStyle w:val="Ingetavstnd"/>
              <w:rPr>
                <w:rFonts w:hAnsiTheme="minorHAnsi" w:cstheme="minorHAnsi"/>
                <w:sz w:val="18"/>
                <w:szCs w:val="18"/>
              </w:rPr>
            </w:pPr>
            <w:r w:rsidRPr="00A01261">
              <w:rPr>
                <w:rFonts w:hAnsiTheme="minorHAnsi" w:cstheme="minorHAnsi"/>
                <w:color w:val="000000"/>
                <w:sz w:val="18"/>
                <w:szCs w:val="18"/>
              </w:rPr>
              <w:t>Student's t-test</w:t>
            </w:r>
          </w:p>
        </w:tc>
        <w:tc>
          <w:tcPr>
            <w:tcW w:w="932" w:type="pct"/>
            <w:vAlign w:val="center"/>
          </w:tcPr>
          <w:p w14:paraId="3C89BDCF" w14:textId="5AD6EB67" w:rsidR="00D80A55" w:rsidRPr="00A01261" w:rsidRDefault="00D80A55" w:rsidP="00D80A55">
            <w:pPr>
              <w:pStyle w:val="Ingetavstnd"/>
              <w:rPr>
                <w:rFonts w:hAnsiTheme="minorHAnsi" w:cstheme="minorHAnsi"/>
                <w:sz w:val="18"/>
                <w:szCs w:val="18"/>
              </w:rPr>
            </w:pPr>
            <w:r w:rsidRPr="00A01261">
              <w:rPr>
                <w:rFonts w:hAnsiTheme="minorHAnsi" w:cstheme="minorHAnsi"/>
                <w:color w:val="000000"/>
                <w:sz w:val="18"/>
                <w:szCs w:val="18"/>
              </w:rPr>
              <w:t>Good completeness of registration of the ACL reconstructions and a high PPV for most key variables were foun</w:t>
            </w:r>
            <w:r>
              <w:rPr>
                <w:rFonts w:hAnsiTheme="minorHAnsi" w:cstheme="minorHAnsi"/>
                <w:color w:val="000000"/>
                <w:sz w:val="18"/>
                <w:szCs w:val="18"/>
              </w:rPr>
              <w:t xml:space="preserve">d. The KOOS and </w:t>
            </w:r>
            <w:proofErr w:type="spellStart"/>
            <w:r>
              <w:rPr>
                <w:rFonts w:hAnsiTheme="minorHAnsi" w:cstheme="minorHAnsi"/>
                <w:color w:val="000000"/>
                <w:sz w:val="18"/>
                <w:szCs w:val="18"/>
              </w:rPr>
              <w:t>Tegner</w:t>
            </w:r>
            <w:proofErr w:type="spellEnd"/>
            <w:r>
              <w:rPr>
                <w:rFonts w:hAnsiTheme="minorHAnsi" w:cstheme="minorHAnsi"/>
                <w:color w:val="000000"/>
                <w:sz w:val="18"/>
                <w:szCs w:val="18"/>
              </w:rPr>
              <w:t xml:space="preserve"> scores </w:t>
            </w:r>
            <w:r w:rsidRPr="00A01261">
              <w:rPr>
                <w:rFonts w:hAnsiTheme="minorHAnsi" w:cstheme="minorHAnsi"/>
                <w:color w:val="000000"/>
                <w:sz w:val="18"/>
                <w:szCs w:val="18"/>
              </w:rPr>
              <w:t>were comparable for responders and non</w:t>
            </w:r>
            <w:r>
              <w:rPr>
                <w:rFonts w:hAnsiTheme="minorHAnsi" w:cstheme="minorHAnsi"/>
                <w:color w:val="000000"/>
                <w:sz w:val="18"/>
                <w:szCs w:val="18"/>
              </w:rPr>
              <w:t>-</w:t>
            </w:r>
            <w:r w:rsidRPr="00A01261">
              <w:rPr>
                <w:rFonts w:hAnsiTheme="minorHAnsi" w:cstheme="minorHAnsi"/>
                <w:color w:val="000000"/>
                <w:sz w:val="18"/>
                <w:szCs w:val="18"/>
              </w:rPr>
              <w:t>responders.</w:t>
            </w:r>
          </w:p>
        </w:tc>
      </w:tr>
      <w:tr w:rsidR="00D80A55" w:rsidRPr="00A01261" w14:paraId="612BFA4B" w14:textId="77777777" w:rsidTr="00D80A55">
        <w:tc>
          <w:tcPr>
            <w:tcW w:w="448" w:type="pct"/>
            <w:vAlign w:val="center"/>
          </w:tcPr>
          <w:p w14:paraId="5F30D597" w14:textId="01B70184" w:rsidR="00D80A55" w:rsidRPr="00A01261" w:rsidRDefault="00D80A55" w:rsidP="00D80A55">
            <w:pPr>
              <w:pStyle w:val="Ingetavstnd"/>
              <w:rPr>
                <w:rFonts w:hAnsiTheme="minorHAnsi" w:cstheme="minorHAnsi"/>
                <w:sz w:val="18"/>
                <w:szCs w:val="18"/>
              </w:rPr>
            </w:pPr>
            <w:proofErr w:type="spellStart"/>
            <w:r w:rsidRPr="00A01261">
              <w:rPr>
                <w:rFonts w:hAnsiTheme="minorHAnsi" w:cstheme="minorHAnsi"/>
                <w:sz w:val="18"/>
                <w:szCs w:val="18"/>
              </w:rPr>
              <w:t>Rahr</w:t>
            </w:r>
            <w:proofErr w:type="spellEnd"/>
            <w:r w:rsidRPr="00A01261">
              <w:rPr>
                <w:rFonts w:hAnsiTheme="minorHAnsi" w:cstheme="minorHAnsi"/>
                <w:sz w:val="18"/>
                <w:szCs w:val="18"/>
              </w:rPr>
              <w:t>-Wagner</w:t>
            </w:r>
            <w:r>
              <w:rPr>
                <w:rFonts w:hAnsiTheme="minorHAnsi" w:cstheme="minorHAnsi"/>
                <w:sz w:val="18"/>
                <w:szCs w:val="18"/>
              </w:rPr>
              <w:t xml:space="preserve"> et al</w:t>
            </w:r>
            <w:r w:rsidRPr="00A01261">
              <w:rPr>
                <w:rFonts w:hAnsiTheme="minorHAnsi" w:cstheme="minorHAnsi"/>
                <w:sz w:val="18"/>
                <w:szCs w:val="18"/>
              </w:rPr>
              <w:t xml:space="preserve"> (2014) </w:t>
            </w:r>
          </w:p>
        </w:tc>
        <w:tc>
          <w:tcPr>
            <w:tcW w:w="290" w:type="pct"/>
            <w:vAlign w:val="center"/>
          </w:tcPr>
          <w:p w14:paraId="7EC44D15" w14:textId="5030D62F" w:rsidR="00D80A55" w:rsidRDefault="00D80A55" w:rsidP="00D80A55">
            <w:pPr>
              <w:pStyle w:val="Ingetavstnd"/>
              <w:jc w:val="center"/>
              <w:rPr>
                <w:rFonts w:hAnsiTheme="minorHAnsi" w:cstheme="minorHAnsi"/>
                <w:color w:val="000000"/>
                <w:sz w:val="18"/>
                <w:szCs w:val="18"/>
              </w:rPr>
            </w:pPr>
            <w:r>
              <w:rPr>
                <w:rFonts w:hAnsiTheme="minorHAnsi" w:cstheme="minorHAnsi"/>
                <w:color w:val="000000"/>
                <w:sz w:val="18"/>
                <w:szCs w:val="18"/>
              </w:rPr>
              <w:t>Den</w:t>
            </w:r>
          </w:p>
        </w:tc>
        <w:tc>
          <w:tcPr>
            <w:tcW w:w="260" w:type="pct"/>
            <w:vAlign w:val="center"/>
          </w:tcPr>
          <w:p w14:paraId="75DEF7FC" w14:textId="15455DB8" w:rsidR="00D80A55" w:rsidRPr="00A01261" w:rsidRDefault="00D80A55" w:rsidP="00D80A55">
            <w:pPr>
              <w:pStyle w:val="Ingetavstnd"/>
              <w:jc w:val="center"/>
              <w:rPr>
                <w:rFonts w:hAnsiTheme="minorHAnsi" w:cstheme="minorHAnsi"/>
                <w:color w:val="000000"/>
                <w:sz w:val="18"/>
                <w:szCs w:val="18"/>
              </w:rPr>
            </w:pPr>
            <w:r>
              <w:rPr>
                <w:rFonts w:hAnsiTheme="minorHAnsi" w:cstheme="minorHAnsi"/>
                <w:color w:val="000000"/>
                <w:sz w:val="18"/>
                <w:szCs w:val="18"/>
              </w:rPr>
              <w:t>15</w:t>
            </w:r>
          </w:p>
        </w:tc>
        <w:tc>
          <w:tcPr>
            <w:tcW w:w="710" w:type="pct"/>
            <w:vAlign w:val="center"/>
          </w:tcPr>
          <w:p w14:paraId="6F7EF564" w14:textId="1A86BF50" w:rsidR="00D80A55" w:rsidRPr="00A01261" w:rsidRDefault="00D80A55" w:rsidP="00D80A55">
            <w:pPr>
              <w:pStyle w:val="Ingetavstnd"/>
              <w:rPr>
                <w:rFonts w:hAnsiTheme="minorHAnsi" w:cstheme="minorHAnsi"/>
                <w:sz w:val="18"/>
                <w:szCs w:val="18"/>
              </w:rPr>
            </w:pPr>
            <w:r w:rsidRPr="00A01261">
              <w:rPr>
                <w:rFonts w:hAnsiTheme="minorHAnsi" w:cstheme="minorHAnsi"/>
                <w:color w:val="000000"/>
                <w:sz w:val="18"/>
                <w:szCs w:val="18"/>
              </w:rPr>
              <w:t xml:space="preserve">Comparison of Hamstring Tendon and Patellar Tendon Grafts in ACL Reconstruction </w:t>
            </w:r>
            <w:r w:rsidRPr="00A01261">
              <w:rPr>
                <w:rFonts w:hAnsiTheme="minorHAnsi" w:cstheme="minorHAnsi"/>
                <w:color w:val="000000"/>
                <w:sz w:val="18"/>
                <w:szCs w:val="18"/>
              </w:rPr>
              <w:lastRenderedPageBreak/>
              <w:t>in a Nationwide Population-Based Coho</w:t>
            </w:r>
            <w:r>
              <w:rPr>
                <w:rFonts w:hAnsiTheme="minorHAnsi" w:cstheme="minorHAnsi"/>
                <w:color w:val="000000"/>
                <w:sz w:val="18"/>
                <w:szCs w:val="18"/>
              </w:rPr>
              <w:t>rt Study: results from the DKRR</w:t>
            </w:r>
            <w:r w:rsidRPr="00A01261">
              <w:rPr>
                <w:rFonts w:hAnsiTheme="minorHAnsi" w:cstheme="minorHAnsi"/>
                <w:color w:val="000000"/>
                <w:sz w:val="18"/>
                <w:szCs w:val="18"/>
              </w:rPr>
              <w:t xml:space="preserve"> </w:t>
            </w:r>
          </w:p>
        </w:tc>
        <w:tc>
          <w:tcPr>
            <w:tcW w:w="477" w:type="pct"/>
            <w:vAlign w:val="center"/>
          </w:tcPr>
          <w:p w14:paraId="749900F9" w14:textId="7A03828F" w:rsidR="00D80A55" w:rsidRPr="00A01261" w:rsidRDefault="00D80A55" w:rsidP="00D80A55">
            <w:pPr>
              <w:pStyle w:val="Ingetavstnd"/>
              <w:rPr>
                <w:rFonts w:hAnsiTheme="minorHAnsi" w:cstheme="minorHAnsi"/>
                <w:sz w:val="18"/>
                <w:szCs w:val="18"/>
              </w:rPr>
            </w:pPr>
            <w:r w:rsidRPr="00A01261">
              <w:rPr>
                <w:rFonts w:hAnsiTheme="minorHAnsi" w:cstheme="minorHAnsi"/>
                <w:color w:val="000000"/>
                <w:sz w:val="18"/>
                <w:szCs w:val="18"/>
              </w:rPr>
              <w:lastRenderedPageBreak/>
              <w:t xml:space="preserve">To compare the revision rate and clinical </w:t>
            </w:r>
            <w:r w:rsidRPr="00A01261">
              <w:rPr>
                <w:rFonts w:hAnsiTheme="minorHAnsi" w:cstheme="minorHAnsi"/>
                <w:color w:val="000000"/>
                <w:sz w:val="18"/>
                <w:szCs w:val="18"/>
              </w:rPr>
              <w:lastRenderedPageBreak/>
              <w:t>outcomes between HT and PT grafts used in primary ACLR</w:t>
            </w:r>
          </w:p>
        </w:tc>
        <w:tc>
          <w:tcPr>
            <w:tcW w:w="574" w:type="pct"/>
            <w:vAlign w:val="center"/>
          </w:tcPr>
          <w:p w14:paraId="2CC75635" w14:textId="73B4AAD9" w:rsidR="00D80A55" w:rsidRPr="00A01261" w:rsidRDefault="00D80A55" w:rsidP="00D80A55">
            <w:pPr>
              <w:pStyle w:val="Ingetavstnd"/>
              <w:rPr>
                <w:rFonts w:hAnsiTheme="minorHAnsi" w:cstheme="minorHAnsi"/>
                <w:sz w:val="18"/>
                <w:szCs w:val="18"/>
              </w:rPr>
            </w:pPr>
            <w:r w:rsidRPr="00A01261">
              <w:rPr>
                <w:rFonts w:hAnsiTheme="minorHAnsi" w:cstheme="minorHAnsi"/>
                <w:color w:val="000000"/>
                <w:sz w:val="18"/>
                <w:szCs w:val="18"/>
              </w:rPr>
              <w:lastRenderedPageBreak/>
              <w:t>Revision ACLR. KT-1000/</w:t>
            </w:r>
            <w:proofErr w:type="spellStart"/>
            <w:r w:rsidRPr="00A01261">
              <w:rPr>
                <w:rFonts w:hAnsiTheme="minorHAnsi" w:cstheme="minorHAnsi"/>
                <w:color w:val="000000"/>
                <w:sz w:val="18"/>
                <w:szCs w:val="18"/>
              </w:rPr>
              <w:t>Rolimeter</w:t>
            </w:r>
            <w:proofErr w:type="spellEnd"/>
            <w:r w:rsidRPr="00A01261">
              <w:rPr>
                <w:rFonts w:hAnsiTheme="minorHAnsi" w:cstheme="minorHAnsi"/>
                <w:color w:val="000000"/>
                <w:sz w:val="18"/>
                <w:szCs w:val="18"/>
              </w:rPr>
              <w:t xml:space="preserve"> and </w:t>
            </w:r>
            <w:r>
              <w:rPr>
                <w:rFonts w:hAnsiTheme="minorHAnsi" w:cstheme="minorHAnsi"/>
                <w:color w:val="000000"/>
                <w:sz w:val="18"/>
                <w:szCs w:val="18"/>
              </w:rPr>
              <w:t>p</w:t>
            </w:r>
            <w:r w:rsidRPr="00A01261">
              <w:rPr>
                <w:rFonts w:hAnsiTheme="minorHAnsi" w:cstheme="minorHAnsi"/>
                <w:color w:val="000000"/>
                <w:sz w:val="18"/>
                <w:szCs w:val="18"/>
              </w:rPr>
              <w:t>ivot</w:t>
            </w:r>
            <w:r>
              <w:rPr>
                <w:rFonts w:hAnsiTheme="minorHAnsi" w:cstheme="minorHAnsi"/>
                <w:color w:val="000000"/>
                <w:sz w:val="18"/>
                <w:szCs w:val="18"/>
              </w:rPr>
              <w:t xml:space="preserve"> </w:t>
            </w:r>
            <w:r w:rsidRPr="00A01261">
              <w:rPr>
                <w:rFonts w:hAnsiTheme="minorHAnsi" w:cstheme="minorHAnsi"/>
                <w:color w:val="000000"/>
                <w:sz w:val="18"/>
                <w:szCs w:val="18"/>
              </w:rPr>
              <w:t xml:space="preserve">shift. KOOS and </w:t>
            </w:r>
            <w:proofErr w:type="spellStart"/>
            <w:r w:rsidRPr="00A01261">
              <w:rPr>
                <w:rFonts w:hAnsiTheme="minorHAnsi" w:cstheme="minorHAnsi"/>
                <w:color w:val="000000"/>
                <w:sz w:val="18"/>
                <w:szCs w:val="18"/>
              </w:rPr>
              <w:t>Tegner</w:t>
            </w:r>
            <w:proofErr w:type="spellEnd"/>
          </w:p>
        </w:tc>
        <w:tc>
          <w:tcPr>
            <w:tcW w:w="441" w:type="pct"/>
            <w:vAlign w:val="center"/>
          </w:tcPr>
          <w:p w14:paraId="750B442F" w14:textId="77777777" w:rsidR="00D80A55" w:rsidRDefault="00D80A55" w:rsidP="00D80A55">
            <w:pPr>
              <w:pStyle w:val="Ingetavstnd"/>
              <w:rPr>
                <w:rFonts w:hAnsiTheme="minorHAnsi" w:cstheme="minorHAnsi"/>
                <w:color w:val="000000"/>
                <w:sz w:val="18"/>
                <w:szCs w:val="18"/>
              </w:rPr>
            </w:pPr>
            <w:r>
              <w:rPr>
                <w:rFonts w:hAnsiTheme="minorHAnsi" w:cstheme="minorHAnsi"/>
                <w:color w:val="000000"/>
                <w:sz w:val="18"/>
                <w:szCs w:val="18"/>
              </w:rPr>
              <w:t xml:space="preserve">N </w:t>
            </w:r>
            <w:r w:rsidRPr="00A01261">
              <w:rPr>
                <w:rFonts w:hAnsiTheme="minorHAnsi" w:cstheme="minorHAnsi"/>
                <w:color w:val="000000"/>
                <w:sz w:val="18"/>
                <w:szCs w:val="18"/>
              </w:rPr>
              <w:t>=</w:t>
            </w:r>
            <w:r>
              <w:rPr>
                <w:rFonts w:hAnsiTheme="minorHAnsi" w:cstheme="minorHAnsi"/>
                <w:color w:val="000000"/>
                <w:sz w:val="18"/>
                <w:szCs w:val="18"/>
              </w:rPr>
              <w:t xml:space="preserve"> 13,647</w:t>
            </w:r>
            <w:r w:rsidRPr="00A01261">
              <w:rPr>
                <w:rFonts w:hAnsiTheme="minorHAnsi" w:cstheme="minorHAnsi"/>
                <w:color w:val="000000"/>
                <w:sz w:val="18"/>
                <w:szCs w:val="18"/>
              </w:rPr>
              <w:t xml:space="preserve"> </w:t>
            </w:r>
          </w:p>
          <w:p w14:paraId="4C43BAEE" w14:textId="77777777" w:rsidR="00D80A55" w:rsidRDefault="00D80A55" w:rsidP="00D80A55">
            <w:pPr>
              <w:pStyle w:val="Ingetavstnd"/>
              <w:rPr>
                <w:rFonts w:hAnsiTheme="minorHAnsi" w:cstheme="minorHAnsi"/>
                <w:color w:val="000000"/>
                <w:sz w:val="18"/>
                <w:szCs w:val="18"/>
              </w:rPr>
            </w:pPr>
            <w:r w:rsidRPr="00A01261">
              <w:rPr>
                <w:rFonts w:hAnsiTheme="minorHAnsi" w:cstheme="minorHAnsi"/>
                <w:color w:val="000000"/>
                <w:sz w:val="18"/>
                <w:szCs w:val="18"/>
              </w:rPr>
              <w:t>HT</w:t>
            </w:r>
            <w:r>
              <w:rPr>
                <w:rFonts w:hAnsiTheme="minorHAnsi" w:cstheme="minorHAnsi"/>
                <w:color w:val="000000"/>
                <w:sz w:val="18"/>
                <w:szCs w:val="18"/>
              </w:rPr>
              <w:t xml:space="preserve"> </w:t>
            </w:r>
            <w:r w:rsidRPr="00A01261">
              <w:rPr>
                <w:rFonts w:hAnsiTheme="minorHAnsi" w:cstheme="minorHAnsi"/>
                <w:color w:val="000000"/>
                <w:sz w:val="18"/>
                <w:szCs w:val="18"/>
              </w:rPr>
              <w:t>=</w:t>
            </w:r>
            <w:r>
              <w:rPr>
                <w:rFonts w:hAnsiTheme="minorHAnsi" w:cstheme="minorHAnsi"/>
                <w:color w:val="000000"/>
                <w:sz w:val="18"/>
                <w:szCs w:val="18"/>
              </w:rPr>
              <w:t xml:space="preserve"> </w:t>
            </w:r>
            <w:r w:rsidRPr="00A01261">
              <w:rPr>
                <w:rFonts w:hAnsiTheme="minorHAnsi" w:cstheme="minorHAnsi"/>
                <w:color w:val="000000"/>
                <w:sz w:val="18"/>
                <w:szCs w:val="18"/>
              </w:rPr>
              <w:t>11,676</w:t>
            </w:r>
          </w:p>
          <w:p w14:paraId="7642EB91" w14:textId="5D67200A" w:rsidR="00D80A55" w:rsidRPr="00A01261" w:rsidRDefault="00D80A55" w:rsidP="00D80A55">
            <w:pPr>
              <w:pStyle w:val="Ingetavstnd"/>
              <w:rPr>
                <w:rFonts w:hAnsiTheme="minorHAnsi" w:cstheme="minorHAnsi"/>
                <w:sz w:val="18"/>
                <w:szCs w:val="18"/>
              </w:rPr>
            </w:pPr>
            <w:r w:rsidRPr="00A01261">
              <w:rPr>
                <w:rFonts w:hAnsiTheme="minorHAnsi" w:cstheme="minorHAnsi"/>
                <w:color w:val="000000"/>
                <w:sz w:val="18"/>
                <w:szCs w:val="18"/>
              </w:rPr>
              <w:t>PT</w:t>
            </w:r>
            <w:r>
              <w:rPr>
                <w:rFonts w:hAnsiTheme="minorHAnsi" w:cstheme="minorHAnsi"/>
                <w:color w:val="000000"/>
                <w:sz w:val="18"/>
                <w:szCs w:val="18"/>
              </w:rPr>
              <w:t xml:space="preserve"> </w:t>
            </w:r>
            <w:r w:rsidRPr="00A01261">
              <w:rPr>
                <w:rFonts w:hAnsiTheme="minorHAnsi" w:cstheme="minorHAnsi"/>
                <w:color w:val="000000"/>
                <w:sz w:val="18"/>
                <w:szCs w:val="18"/>
              </w:rPr>
              <w:t>=</w:t>
            </w:r>
            <w:r>
              <w:rPr>
                <w:rFonts w:hAnsiTheme="minorHAnsi" w:cstheme="minorHAnsi"/>
                <w:color w:val="000000"/>
                <w:sz w:val="18"/>
                <w:szCs w:val="18"/>
              </w:rPr>
              <w:t xml:space="preserve"> </w:t>
            </w:r>
            <w:r w:rsidRPr="00A01261">
              <w:rPr>
                <w:rFonts w:hAnsiTheme="minorHAnsi" w:cstheme="minorHAnsi"/>
                <w:color w:val="000000"/>
                <w:sz w:val="18"/>
                <w:szCs w:val="18"/>
              </w:rPr>
              <w:t xml:space="preserve">1,971 </w:t>
            </w:r>
          </w:p>
        </w:tc>
        <w:tc>
          <w:tcPr>
            <w:tcW w:w="444" w:type="pct"/>
            <w:vAlign w:val="center"/>
          </w:tcPr>
          <w:p w14:paraId="00542259" w14:textId="0AAA5573" w:rsidR="00D80A55" w:rsidRPr="00A01261" w:rsidRDefault="00D80A55" w:rsidP="00D80A55">
            <w:pPr>
              <w:pStyle w:val="Ingetavstnd"/>
              <w:rPr>
                <w:rFonts w:hAnsiTheme="minorHAnsi" w:cstheme="minorHAnsi"/>
                <w:sz w:val="18"/>
                <w:szCs w:val="18"/>
              </w:rPr>
            </w:pPr>
            <w:r>
              <w:rPr>
                <w:rFonts w:hAnsiTheme="minorHAnsi" w:cstheme="minorHAnsi"/>
                <w:color w:val="000000"/>
                <w:sz w:val="18"/>
                <w:szCs w:val="18"/>
              </w:rPr>
              <w:t>Mean for</w:t>
            </w:r>
            <w:r w:rsidRPr="00A01261">
              <w:rPr>
                <w:rFonts w:hAnsiTheme="minorHAnsi" w:cstheme="minorHAnsi"/>
                <w:color w:val="000000"/>
                <w:sz w:val="18"/>
                <w:szCs w:val="18"/>
              </w:rPr>
              <w:t xml:space="preserve"> revision: 3.01 y</w:t>
            </w:r>
            <w:r>
              <w:rPr>
                <w:rFonts w:hAnsiTheme="minorHAnsi" w:cstheme="minorHAnsi"/>
                <w:color w:val="000000"/>
                <w:sz w:val="18"/>
                <w:szCs w:val="18"/>
              </w:rPr>
              <w:t>ears</w:t>
            </w:r>
            <w:r w:rsidRPr="00A01261">
              <w:rPr>
                <w:rFonts w:hAnsiTheme="minorHAnsi" w:cstheme="minorHAnsi"/>
                <w:color w:val="000000"/>
                <w:sz w:val="18"/>
                <w:szCs w:val="18"/>
              </w:rPr>
              <w:t xml:space="preserve">, </w:t>
            </w:r>
            <w:r>
              <w:rPr>
                <w:rFonts w:hAnsiTheme="minorHAnsi" w:cstheme="minorHAnsi"/>
                <w:color w:val="000000"/>
                <w:sz w:val="18"/>
                <w:szCs w:val="18"/>
              </w:rPr>
              <w:t xml:space="preserve">for knee stability </w:t>
            </w:r>
            <w:r>
              <w:rPr>
                <w:rFonts w:hAnsiTheme="minorHAnsi" w:cstheme="minorHAnsi"/>
                <w:color w:val="000000"/>
                <w:sz w:val="18"/>
                <w:szCs w:val="18"/>
              </w:rPr>
              <w:lastRenderedPageBreak/>
              <w:t>and KOOS 1 year</w:t>
            </w:r>
          </w:p>
        </w:tc>
        <w:tc>
          <w:tcPr>
            <w:tcW w:w="424" w:type="pct"/>
            <w:vAlign w:val="center"/>
          </w:tcPr>
          <w:p w14:paraId="36B66FCC" w14:textId="6B70AE1D" w:rsidR="00D80A55" w:rsidRPr="00A01261" w:rsidRDefault="00D80A55" w:rsidP="00D80A55">
            <w:pPr>
              <w:pStyle w:val="Ingetavstnd"/>
              <w:rPr>
                <w:rFonts w:hAnsiTheme="minorHAnsi" w:cstheme="minorHAnsi"/>
                <w:sz w:val="18"/>
                <w:szCs w:val="18"/>
              </w:rPr>
            </w:pPr>
            <w:r w:rsidRPr="00A01261">
              <w:rPr>
                <w:rFonts w:hAnsiTheme="minorHAnsi" w:cstheme="minorHAnsi"/>
                <w:color w:val="000000"/>
                <w:sz w:val="18"/>
                <w:szCs w:val="18"/>
              </w:rPr>
              <w:lastRenderedPageBreak/>
              <w:t xml:space="preserve">Kaplan-Meier, Cox regression </w:t>
            </w:r>
            <w:r w:rsidRPr="00A01261">
              <w:rPr>
                <w:rFonts w:hAnsiTheme="minorHAnsi" w:cstheme="minorHAnsi"/>
                <w:color w:val="000000"/>
                <w:sz w:val="18"/>
                <w:szCs w:val="18"/>
              </w:rPr>
              <w:lastRenderedPageBreak/>
              <w:t>and logistic regression</w:t>
            </w:r>
          </w:p>
        </w:tc>
        <w:tc>
          <w:tcPr>
            <w:tcW w:w="932" w:type="pct"/>
            <w:vAlign w:val="center"/>
          </w:tcPr>
          <w:p w14:paraId="0FEBB92F" w14:textId="5CD48D76" w:rsidR="00D80A55" w:rsidRPr="00A01261" w:rsidRDefault="00D80A55" w:rsidP="00D80A55">
            <w:pPr>
              <w:pStyle w:val="Ingetavstnd"/>
              <w:rPr>
                <w:rFonts w:hAnsiTheme="minorHAnsi" w:cstheme="minorHAnsi"/>
                <w:sz w:val="18"/>
                <w:szCs w:val="18"/>
              </w:rPr>
            </w:pPr>
            <w:r w:rsidRPr="00A01261">
              <w:rPr>
                <w:rFonts w:hAnsiTheme="minorHAnsi" w:cstheme="minorHAnsi"/>
                <w:color w:val="000000"/>
                <w:sz w:val="18"/>
                <w:szCs w:val="18"/>
              </w:rPr>
              <w:lastRenderedPageBreak/>
              <w:t xml:space="preserve">HT grafts were associated with a substantially increased risk of early revision at </w:t>
            </w:r>
            <w:r>
              <w:rPr>
                <w:rFonts w:hAnsiTheme="minorHAnsi" w:cstheme="minorHAnsi"/>
                <w:color w:val="000000"/>
                <w:sz w:val="18"/>
                <w:szCs w:val="18"/>
              </w:rPr>
              <w:t>the one</w:t>
            </w:r>
            <w:r w:rsidRPr="00A01261">
              <w:rPr>
                <w:rFonts w:hAnsiTheme="minorHAnsi" w:cstheme="minorHAnsi"/>
                <w:color w:val="000000"/>
                <w:sz w:val="18"/>
                <w:szCs w:val="18"/>
              </w:rPr>
              <w:t>-year follow-up. A minor decrease</w:t>
            </w:r>
            <w:r>
              <w:rPr>
                <w:rFonts w:hAnsiTheme="minorHAnsi" w:cstheme="minorHAnsi"/>
                <w:color w:val="000000"/>
                <w:sz w:val="18"/>
                <w:szCs w:val="18"/>
              </w:rPr>
              <w:t xml:space="preserve"> in </w:t>
            </w:r>
            <w:r>
              <w:rPr>
                <w:rFonts w:hAnsiTheme="minorHAnsi" w:cstheme="minorHAnsi"/>
                <w:color w:val="000000"/>
                <w:sz w:val="18"/>
                <w:szCs w:val="18"/>
              </w:rPr>
              <w:lastRenderedPageBreak/>
              <w:t>the</w:t>
            </w:r>
            <w:r w:rsidRPr="00A01261">
              <w:rPr>
                <w:rFonts w:hAnsiTheme="minorHAnsi" w:cstheme="minorHAnsi"/>
                <w:color w:val="000000"/>
                <w:sz w:val="18"/>
                <w:szCs w:val="18"/>
              </w:rPr>
              <w:t xml:space="preserve"> risk of positive pivot-shift test results in the HT group.</w:t>
            </w:r>
            <w:r>
              <w:rPr>
                <w:rFonts w:hAnsiTheme="minorHAnsi" w:cstheme="minorHAnsi"/>
                <w:color w:val="000000"/>
                <w:sz w:val="18"/>
                <w:szCs w:val="18"/>
              </w:rPr>
              <w:t xml:space="preserve"> HT grafts had superior results in terms of the KOOS. </w:t>
            </w:r>
          </w:p>
        </w:tc>
      </w:tr>
      <w:tr w:rsidR="00D80A55" w:rsidRPr="00A01261" w14:paraId="3F43FCAD" w14:textId="77777777" w:rsidTr="00D80A55">
        <w:tc>
          <w:tcPr>
            <w:tcW w:w="448" w:type="pct"/>
            <w:vAlign w:val="center"/>
          </w:tcPr>
          <w:p w14:paraId="7E19A0B1" w14:textId="4BB0054B" w:rsidR="00D80A55" w:rsidRPr="00A01261" w:rsidRDefault="00D80A55" w:rsidP="00D80A55">
            <w:pPr>
              <w:pStyle w:val="Ingetavstnd"/>
              <w:rPr>
                <w:rFonts w:hAnsiTheme="minorHAnsi" w:cstheme="minorHAnsi"/>
                <w:sz w:val="18"/>
                <w:szCs w:val="18"/>
              </w:rPr>
            </w:pPr>
            <w:proofErr w:type="spellStart"/>
            <w:r>
              <w:rPr>
                <w:rFonts w:cstheme="minorHAnsi"/>
                <w:sz w:val="18"/>
                <w:szCs w:val="18"/>
              </w:rPr>
              <w:lastRenderedPageBreak/>
              <w:t>Reinholdsson</w:t>
            </w:r>
            <w:proofErr w:type="spellEnd"/>
            <w:r>
              <w:rPr>
                <w:rFonts w:cstheme="minorHAnsi"/>
                <w:sz w:val="18"/>
                <w:szCs w:val="18"/>
              </w:rPr>
              <w:t xml:space="preserve"> et al (2016)</w:t>
            </w:r>
          </w:p>
        </w:tc>
        <w:tc>
          <w:tcPr>
            <w:tcW w:w="290" w:type="pct"/>
            <w:vAlign w:val="center"/>
          </w:tcPr>
          <w:p w14:paraId="38369964" w14:textId="54B9DDBA" w:rsidR="00D80A55" w:rsidRDefault="00D80A55" w:rsidP="00D80A55">
            <w:pPr>
              <w:pStyle w:val="Ingetavstnd"/>
              <w:jc w:val="center"/>
              <w:rPr>
                <w:rFonts w:hAnsiTheme="minorHAnsi" w:cstheme="minorHAnsi"/>
                <w:color w:val="000000"/>
                <w:sz w:val="18"/>
                <w:szCs w:val="18"/>
              </w:rPr>
            </w:pPr>
            <w:proofErr w:type="spellStart"/>
            <w:r>
              <w:rPr>
                <w:rFonts w:hAnsiTheme="minorHAnsi" w:cstheme="minorHAnsi"/>
                <w:color w:val="000000"/>
                <w:sz w:val="18"/>
                <w:szCs w:val="18"/>
              </w:rPr>
              <w:t>Swe</w:t>
            </w:r>
            <w:proofErr w:type="spellEnd"/>
          </w:p>
        </w:tc>
        <w:tc>
          <w:tcPr>
            <w:tcW w:w="260" w:type="pct"/>
            <w:vAlign w:val="center"/>
          </w:tcPr>
          <w:p w14:paraId="7D74AC86" w14:textId="7485CFC6" w:rsidR="00D80A55" w:rsidRDefault="00D80A55" w:rsidP="00D80A55">
            <w:pPr>
              <w:pStyle w:val="Ingetavstnd"/>
              <w:jc w:val="center"/>
              <w:rPr>
                <w:rFonts w:ascii="Calibri" w:hAnsi="Calibri"/>
                <w:color w:val="000000"/>
                <w:sz w:val="18"/>
                <w:szCs w:val="18"/>
              </w:rPr>
            </w:pPr>
            <w:r>
              <w:rPr>
                <w:rFonts w:ascii="Calibri" w:hAnsi="Calibri"/>
                <w:color w:val="000000"/>
                <w:sz w:val="18"/>
                <w:szCs w:val="18"/>
              </w:rPr>
              <w:t>19</w:t>
            </w:r>
          </w:p>
        </w:tc>
        <w:tc>
          <w:tcPr>
            <w:tcW w:w="710" w:type="pct"/>
            <w:vAlign w:val="center"/>
          </w:tcPr>
          <w:p w14:paraId="21A76B2B" w14:textId="7FB9295C" w:rsidR="00D80A55" w:rsidRPr="00A01261" w:rsidRDefault="00D80A55" w:rsidP="00D80A55">
            <w:pPr>
              <w:pStyle w:val="Ingetavstnd"/>
              <w:rPr>
                <w:rFonts w:hAnsiTheme="minorHAnsi" w:cstheme="minorHAnsi"/>
                <w:sz w:val="18"/>
                <w:szCs w:val="18"/>
              </w:rPr>
            </w:pPr>
            <w:r>
              <w:rPr>
                <w:rFonts w:ascii="Calibri" w:hAnsi="Calibri"/>
                <w:color w:val="000000"/>
                <w:sz w:val="18"/>
                <w:szCs w:val="18"/>
              </w:rPr>
              <w:t xml:space="preserve">A non-response analysis of two-year data in the Swedish Knee Ligament Register </w:t>
            </w:r>
          </w:p>
        </w:tc>
        <w:tc>
          <w:tcPr>
            <w:tcW w:w="477" w:type="pct"/>
            <w:vAlign w:val="center"/>
          </w:tcPr>
          <w:p w14:paraId="2EC7224B" w14:textId="31453441" w:rsidR="00D80A55" w:rsidRPr="00A01261" w:rsidRDefault="00D80A55" w:rsidP="00D80A55">
            <w:pPr>
              <w:pStyle w:val="Ingetavstnd"/>
              <w:rPr>
                <w:rFonts w:hAnsiTheme="minorHAnsi" w:cstheme="minorHAnsi"/>
                <w:sz w:val="18"/>
                <w:szCs w:val="18"/>
              </w:rPr>
            </w:pPr>
            <w:r>
              <w:rPr>
                <w:rFonts w:ascii="Calibri" w:hAnsi="Calibri"/>
                <w:color w:val="000000"/>
                <w:sz w:val="18"/>
                <w:szCs w:val="18"/>
              </w:rPr>
              <w:t xml:space="preserve">To investigate if there is a difference between respondents and non-respondents at the two-year follow-up. The second aim was to </w:t>
            </w:r>
            <w:proofErr w:type="spellStart"/>
            <w:r>
              <w:rPr>
                <w:rFonts w:ascii="Calibri" w:hAnsi="Calibri"/>
                <w:color w:val="000000"/>
                <w:sz w:val="18"/>
                <w:szCs w:val="18"/>
              </w:rPr>
              <w:t>analyse</w:t>
            </w:r>
            <w:proofErr w:type="spellEnd"/>
            <w:r>
              <w:rPr>
                <w:rFonts w:ascii="Calibri" w:hAnsi="Calibri"/>
                <w:color w:val="000000"/>
                <w:sz w:val="18"/>
                <w:szCs w:val="18"/>
              </w:rPr>
              <w:t xml:space="preserve"> whether the outcome variables of the KOOS and EQ5D differed between respondents and non-respondents. </w:t>
            </w:r>
          </w:p>
        </w:tc>
        <w:tc>
          <w:tcPr>
            <w:tcW w:w="574" w:type="pct"/>
            <w:vAlign w:val="center"/>
          </w:tcPr>
          <w:p w14:paraId="287B70A3" w14:textId="46F26366" w:rsidR="00D80A55" w:rsidRPr="00A01261" w:rsidRDefault="00D80A55" w:rsidP="00D80A55">
            <w:pPr>
              <w:pStyle w:val="Ingetavstnd"/>
              <w:rPr>
                <w:rFonts w:hAnsiTheme="minorHAnsi" w:cstheme="minorHAnsi"/>
                <w:sz w:val="18"/>
                <w:szCs w:val="18"/>
              </w:rPr>
            </w:pPr>
            <w:r>
              <w:rPr>
                <w:rFonts w:hAnsiTheme="minorHAnsi" w:cstheme="minorHAnsi"/>
                <w:color w:val="000000"/>
                <w:sz w:val="18"/>
                <w:szCs w:val="18"/>
              </w:rPr>
              <w:t>Demographics, intraoperative finding, KOOS, and EQ5-D</w:t>
            </w:r>
          </w:p>
        </w:tc>
        <w:tc>
          <w:tcPr>
            <w:tcW w:w="441" w:type="pct"/>
            <w:vAlign w:val="center"/>
          </w:tcPr>
          <w:p w14:paraId="5BDC2C53" w14:textId="77777777" w:rsidR="00D80A55" w:rsidRDefault="00D80A55" w:rsidP="00D80A55">
            <w:pPr>
              <w:rPr>
                <w:rFonts w:ascii="Calibri" w:hAnsi="Calibri"/>
                <w:color w:val="000000"/>
                <w:sz w:val="18"/>
                <w:szCs w:val="18"/>
              </w:rPr>
            </w:pPr>
            <w:r>
              <w:rPr>
                <w:rFonts w:ascii="Calibri" w:hAnsi="Calibri"/>
                <w:color w:val="000000"/>
                <w:sz w:val="18"/>
                <w:szCs w:val="18"/>
              </w:rPr>
              <w:t xml:space="preserve">N = 3,588 </w:t>
            </w:r>
          </w:p>
          <w:p w14:paraId="289D580D" w14:textId="77777777" w:rsidR="00D80A55" w:rsidRDefault="00D80A55" w:rsidP="00D80A55">
            <w:pPr>
              <w:rPr>
                <w:rFonts w:ascii="Calibri" w:hAnsi="Calibri"/>
                <w:color w:val="000000"/>
                <w:sz w:val="18"/>
                <w:szCs w:val="18"/>
              </w:rPr>
            </w:pPr>
            <w:r>
              <w:rPr>
                <w:rFonts w:ascii="Calibri" w:hAnsi="Calibri"/>
                <w:color w:val="000000"/>
                <w:sz w:val="18"/>
                <w:szCs w:val="18"/>
              </w:rPr>
              <w:t>Females: 41.1%</w:t>
            </w:r>
          </w:p>
          <w:p w14:paraId="3747B3C7" w14:textId="77777777" w:rsidR="00D80A55" w:rsidRDefault="00D80A55" w:rsidP="00D80A55">
            <w:pPr>
              <w:rPr>
                <w:rFonts w:ascii="Calibri" w:hAnsi="Calibri"/>
                <w:color w:val="000000"/>
                <w:sz w:val="18"/>
                <w:szCs w:val="18"/>
              </w:rPr>
            </w:pPr>
            <w:r>
              <w:rPr>
                <w:rFonts w:ascii="Calibri" w:hAnsi="Calibri"/>
                <w:color w:val="000000"/>
                <w:sz w:val="18"/>
                <w:szCs w:val="18"/>
              </w:rPr>
              <w:t xml:space="preserve">Respondents = 1,865 </w:t>
            </w:r>
          </w:p>
          <w:p w14:paraId="54C8B6F4" w14:textId="77777777" w:rsidR="00D80A55" w:rsidRDefault="00D80A55" w:rsidP="00D80A55">
            <w:pPr>
              <w:rPr>
                <w:rFonts w:ascii="Calibri" w:hAnsi="Calibri"/>
                <w:color w:val="000000"/>
                <w:sz w:val="18"/>
                <w:szCs w:val="18"/>
              </w:rPr>
            </w:pPr>
            <w:r>
              <w:rPr>
                <w:rFonts w:ascii="Calibri" w:hAnsi="Calibri"/>
                <w:color w:val="000000"/>
                <w:sz w:val="18"/>
                <w:szCs w:val="18"/>
              </w:rPr>
              <w:t>Non-respondents = 1,723</w:t>
            </w:r>
          </w:p>
          <w:p w14:paraId="229CEB71" w14:textId="77777777" w:rsidR="00D80A55" w:rsidRPr="00A01261" w:rsidRDefault="00D80A55" w:rsidP="00D80A55">
            <w:pPr>
              <w:pStyle w:val="Ingetavstnd"/>
              <w:rPr>
                <w:rFonts w:hAnsiTheme="minorHAnsi" w:cstheme="minorHAnsi"/>
                <w:sz w:val="18"/>
                <w:szCs w:val="18"/>
              </w:rPr>
            </w:pPr>
          </w:p>
        </w:tc>
        <w:tc>
          <w:tcPr>
            <w:tcW w:w="444" w:type="pct"/>
            <w:vAlign w:val="center"/>
          </w:tcPr>
          <w:p w14:paraId="790119CD" w14:textId="53132394" w:rsidR="00D80A55" w:rsidRPr="00A01261" w:rsidRDefault="00D80A55" w:rsidP="00D80A55">
            <w:pPr>
              <w:pStyle w:val="Ingetavstnd"/>
              <w:rPr>
                <w:rFonts w:hAnsiTheme="minorHAnsi" w:cstheme="minorHAnsi"/>
                <w:sz w:val="18"/>
                <w:szCs w:val="18"/>
              </w:rPr>
            </w:pPr>
            <w:r>
              <w:rPr>
                <w:rFonts w:hAnsiTheme="minorHAnsi" w:cstheme="minorHAnsi"/>
                <w:color w:val="000000"/>
                <w:sz w:val="18"/>
                <w:szCs w:val="18"/>
              </w:rPr>
              <w:t>2 years</w:t>
            </w:r>
          </w:p>
        </w:tc>
        <w:tc>
          <w:tcPr>
            <w:tcW w:w="424" w:type="pct"/>
            <w:vAlign w:val="center"/>
          </w:tcPr>
          <w:p w14:paraId="3A47BFD0" w14:textId="5C0E64FE" w:rsidR="00D80A55" w:rsidRPr="00A01261" w:rsidRDefault="00D80A55" w:rsidP="00D80A55">
            <w:pPr>
              <w:pStyle w:val="Ingetavstnd"/>
              <w:rPr>
                <w:rFonts w:hAnsiTheme="minorHAnsi" w:cstheme="minorHAnsi"/>
                <w:sz w:val="18"/>
                <w:szCs w:val="18"/>
              </w:rPr>
            </w:pPr>
            <w:r>
              <w:rPr>
                <w:rFonts w:ascii="Calibri" w:hAnsi="Calibri"/>
                <w:color w:val="000000"/>
                <w:sz w:val="18"/>
                <w:szCs w:val="18"/>
              </w:rPr>
              <w:t>Pearson’s chi-square, Fisher’s exact, Student’s t, analysis of covariance</w:t>
            </w:r>
          </w:p>
        </w:tc>
        <w:tc>
          <w:tcPr>
            <w:tcW w:w="932" w:type="pct"/>
            <w:vAlign w:val="center"/>
          </w:tcPr>
          <w:p w14:paraId="2F45459B" w14:textId="77777777" w:rsidR="00D80A55" w:rsidRDefault="00D80A55" w:rsidP="00D80A55">
            <w:pPr>
              <w:rPr>
                <w:rFonts w:ascii="Calibri" w:hAnsi="Calibri"/>
                <w:color w:val="000000"/>
                <w:sz w:val="18"/>
                <w:szCs w:val="18"/>
              </w:rPr>
            </w:pPr>
            <w:r>
              <w:rPr>
                <w:rFonts w:ascii="Calibri" w:hAnsi="Calibri"/>
                <w:color w:val="000000"/>
                <w:sz w:val="18"/>
                <w:szCs w:val="18"/>
              </w:rPr>
              <w:t>The register is valid concerning baseline surgical data, but higher age, female gender and perhaps higher socioeconomic status improve the response rates. The KOOS showed small differences of questionable clinical significance.</w:t>
            </w:r>
          </w:p>
          <w:p w14:paraId="6D966F98" w14:textId="77777777" w:rsidR="00D80A55" w:rsidRPr="00A01261" w:rsidRDefault="00D80A55" w:rsidP="00D80A55">
            <w:pPr>
              <w:pStyle w:val="Ingetavstnd"/>
              <w:rPr>
                <w:rFonts w:hAnsiTheme="minorHAnsi" w:cstheme="minorHAnsi"/>
                <w:sz w:val="18"/>
                <w:szCs w:val="18"/>
              </w:rPr>
            </w:pPr>
          </w:p>
        </w:tc>
      </w:tr>
      <w:tr w:rsidR="00D80A55" w:rsidRPr="00A01261" w14:paraId="79EB60CA" w14:textId="77777777" w:rsidTr="00D80A55">
        <w:tc>
          <w:tcPr>
            <w:tcW w:w="448" w:type="pct"/>
            <w:vAlign w:val="center"/>
          </w:tcPr>
          <w:p w14:paraId="55DD36A5" w14:textId="3F2D68C5" w:rsidR="00D80A55" w:rsidRPr="00A01261" w:rsidRDefault="00D80A55" w:rsidP="00D80A55">
            <w:pPr>
              <w:pStyle w:val="Ingetavstnd"/>
              <w:rPr>
                <w:rFonts w:hAnsiTheme="minorHAnsi" w:cstheme="minorHAnsi"/>
                <w:sz w:val="18"/>
                <w:szCs w:val="18"/>
              </w:rPr>
            </w:pPr>
            <w:proofErr w:type="spellStart"/>
            <w:r>
              <w:rPr>
                <w:rFonts w:cstheme="minorHAnsi"/>
                <w:sz w:val="18"/>
                <w:szCs w:val="18"/>
              </w:rPr>
              <w:t>R</w:t>
            </w:r>
            <w:r w:rsidRPr="00A15482">
              <w:rPr>
                <w:rFonts w:hAnsiTheme="minorHAnsi" w:cstheme="minorHAnsi"/>
                <w:sz w:val="18"/>
                <w:szCs w:val="18"/>
              </w:rPr>
              <w:t>ø</w:t>
            </w:r>
            <w:r>
              <w:rPr>
                <w:rFonts w:cstheme="minorHAnsi"/>
                <w:sz w:val="18"/>
                <w:szCs w:val="18"/>
              </w:rPr>
              <w:t>tterrud</w:t>
            </w:r>
            <w:proofErr w:type="spellEnd"/>
            <w:r>
              <w:rPr>
                <w:rFonts w:cstheme="minorHAnsi"/>
                <w:sz w:val="18"/>
                <w:szCs w:val="18"/>
              </w:rPr>
              <w:t xml:space="preserve"> et al (2011)</w:t>
            </w:r>
          </w:p>
        </w:tc>
        <w:tc>
          <w:tcPr>
            <w:tcW w:w="290" w:type="pct"/>
            <w:vAlign w:val="center"/>
          </w:tcPr>
          <w:p w14:paraId="22864005" w14:textId="7FECF244" w:rsidR="00D80A55" w:rsidRDefault="00D80A55" w:rsidP="00D80A55">
            <w:pPr>
              <w:pStyle w:val="Ingetavstnd"/>
              <w:jc w:val="center"/>
              <w:rPr>
                <w:rFonts w:hAnsiTheme="minorHAnsi" w:cstheme="minorHAnsi"/>
                <w:color w:val="000000"/>
                <w:sz w:val="18"/>
                <w:szCs w:val="18"/>
              </w:rPr>
            </w:pPr>
            <w:r>
              <w:rPr>
                <w:rFonts w:hAnsiTheme="minorHAnsi" w:cstheme="minorHAnsi"/>
                <w:color w:val="000000"/>
                <w:sz w:val="18"/>
                <w:szCs w:val="18"/>
              </w:rPr>
              <w:t xml:space="preserve">Nor </w:t>
            </w:r>
            <w:proofErr w:type="spellStart"/>
            <w:r>
              <w:rPr>
                <w:rFonts w:hAnsiTheme="minorHAnsi" w:cstheme="minorHAnsi"/>
                <w:color w:val="000000"/>
                <w:sz w:val="18"/>
                <w:szCs w:val="18"/>
              </w:rPr>
              <w:t>Swe</w:t>
            </w:r>
            <w:proofErr w:type="spellEnd"/>
          </w:p>
        </w:tc>
        <w:tc>
          <w:tcPr>
            <w:tcW w:w="260" w:type="pct"/>
            <w:vAlign w:val="center"/>
          </w:tcPr>
          <w:p w14:paraId="550D1381" w14:textId="6F893315" w:rsidR="00D80A55" w:rsidRDefault="00D80A55" w:rsidP="00D80A55">
            <w:pPr>
              <w:pStyle w:val="Ingetavstnd"/>
              <w:jc w:val="center"/>
              <w:rPr>
                <w:rFonts w:ascii="Calibri" w:hAnsi="Calibri"/>
                <w:color w:val="000000"/>
                <w:sz w:val="18"/>
                <w:szCs w:val="18"/>
              </w:rPr>
            </w:pPr>
            <w:r>
              <w:rPr>
                <w:rFonts w:ascii="Calibri" w:hAnsi="Calibri"/>
                <w:color w:val="000000"/>
                <w:sz w:val="18"/>
                <w:szCs w:val="18"/>
              </w:rPr>
              <w:t>17</w:t>
            </w:r>
          </w:p>
        </w:tc>
        <w:tc>
          <w:tcPr>
            <w:tcW w:w="710" w:type="pct"/>
            <w:vAlign w:val="center"/>
          </w:tcPr>
          <w:p w14:paraId="1352BEC2" w14:textId="7782E5D6" w:rsidR="00D80A55" w:rsidRPr="00A01261" w:rsidRDefault="00D80A55" w:rsidP="00D80A55">
            <w:pPr>
              <w:pStyle w:val="Ingetavstnd"/>
              <w:rPr>
                <w:rFonts w:hAnsiTheme="minorHAnsi" w:cstheme="minorHAnsi"/>
                <w:sz w:val="18"/>
                <w:szCs w:val="18"/>
              </w:rPr>
            </w:pPr>
            <w:r>
              <w:rPr>
                <w:rFonts w:ascii="Calibri" w:hAnsi="Calibri"/>
                <w:color w:val="000000"/>
                <w:sz w:val="18"/>
                <w:szCs w:val="18"/>
              </w:rPr>
              <w:t xml:space="preserve">Effect of Gender and Sports on the Risk of Full-Thickness Articular Cartilage Lesions in ACL Injured Knees: a nationwide cohort study from Sweden and Norway on 15783 patients. </w:t>
            </w:r>
          </w:p>
        </w:tc>
        <w:tc>
          <w:tcPr>
            <w:tcW w:w="477" w:type="pct"/>
            <w:vAlign w:val="center"/>
          </w:tcPr>
          <w:p w14:paraId="686CE221" w14:textId="0E3217B7" w:rsidR="00D80A55" w:rsidRPr="00A01261" w:rsidRDefault="00D80A55" w:rsidP="00D80A55">
            <w:pPr>
              <w:pStyle w:val="Ingetavstnd"/>
              <w:rPr>
                <w:rFonts w:hAnsiTheme="minorHAnsi" w:cstheme="minorHAnsi"/>
                <w:sz w:val="18"/>
                <w:szCs w:val="18"/>
              </w:rPr>
            </w:pPr>
            <w:r>
              <w:rPr>
                <w:rFonts w:ascii="Calibri" w:hAnsi="Calibri"/>
                <w:color w:val="000000"/>
                <w:sz w:val="18"/>
                <w:szCs w:val="18"/>
              </w:rPr>
              <w:t>The study aims to evaluate risk factors for full-thickness articular cartilage lesions ICRS identified during primary ACL reconstruction.</w:t>
            </w:r>
          </w:p>
        </w:tc>
        <w:tc>
          <w:tcPr>
            <w:tcW w:w="574" w:type="pct"/>
            <w:vAlign w:val="center"/>
          </w:tcPr>
          <w:p w14:paraId="32C46E72" w14:textId="77777777" w:rsidR="00D80A55" w:rsidRDefault="00D80A55" w:rsidP="00D80A55">
            <w:pPr>
              <w:rPr>
                <w:rFonts w:ascii="Calibri" w:hAnsi="Calibri"/>
                <w:color w:val="000000"/>
                <w:sz w:val="18"/>
                <w:szCs w:val="18"/>
              </w:rPr>
            </w:pPr>
            <w:r>
              <w:rPr>
                <w:rFonts w:ascii="Calibri" w:hAnsi="Calibri"/>
                <w:color w:val="000000"/>
                <w:sz w:val="18"/>
                <w:szCs w:val="18"/>
              </w:rPr>
              <w:t>Full-thickness cartilage lesion in ACL-injured knees</w:t>
            </w:r>
          </w:p>
          <w:p w14:paraId="342BFB08" w14:textId="77777777" w:rsidR="00D80A55" w:rsidRPr="00A01261" w:rsidRDefault="00D80A55" w:rsidP="00D80A55">
            <w:pPr>
              <w:pStyle w:val="Ingetavstnd"/>
              <w:rPr>
                <w:rFonts w:hAnsiTheme="minorHAnsi" w:cstheme="minorHAnsi"/>
                <w:sz w:val="18"/>
                <w:szCs w:val="18"/>
              </w:rPr>
            </w:pPr>
          </w:p>
        </w:tc>
        <w:tc>
          <w:tcPr>
            <w:tcW w:w="441" w:type="pct"/>
            <w:vAlign w:val="center"/>
          </w:tcPr>
          <w:p w14:paraId="34CDD046" w14:textId="77777777" w:rsidR="00D80A55" w:rsidRDefault="00D80A55" w:rsidP="00D80A55">
            <w:pPr>
              <w:rPr>
                <w:rFonts w:ascii="Calibri" w:hAnsi="Calibri"/>
                <w:color w:val="000000"/>
                <w:sz w:val="18"/>
                <w:szCs w:val="18"/>
              </w:rPr>
            </w:pPr>
            <w:r>
              <w:rPr>
                <w:rFonts w:ascii="Calibri" w:hAnsi="Calibri"/>
                <w:color w:val="000000"/>
                <w:sz w:val="18"/>
                <w:szCs w:val="18"/>
              </w:rPr>
              <w:t>N = 15,783</w:t>
            </w:r>
          </w:p>
          <w:p w14:paraId="56BBE47F" w14:textId="01618794" w:rsidR="00D80A55" w:rsidRDefault="00D80A55" w:rsidP="00D80A55">
            <w:pPr>
              <w:rPr>
                <w:rFonts w:ascii="Calibri" w:hAnsi="Calibri"/>
                <w:color w:val="000000"/>
                <w:sz w:val="18"/>
                <w:szCs w:val="18"/>
              </w:rPr>
            </w:pPr>
            <w:r>
              <w:rPr>
                <w:rFonts w:ascii="Calibri" w:hAnsi="Calibri"/>
                <w:color w:val="000000"/>
                <w:sz w:val="18"/>
                <w:szCs w:val="18"/>
              </w:rPr>
              <w:t>(F = 42%)</w:t>
            </w:r>
          </w:p>
          <w:p w14:paraId="0139B887" w14:textId="77777777" w:rsidR="00D80A55" w:rsidRDefault="00D80A55" w:rsidP="00D80A55">
            <w:pPr>
              <w:rPr>
                <w:rFonts w:ascii="Calibri" w:hAnsi="Calibri"/>
                <w:color w:val="000000"/>
                <w:sz w:val="18"/>
                <w:szCs w:val="18"/>
              </w:rPr>
            </w:pPr>
            <w:r>
              <w:rPr>
                <w:rFonts w:ascii="Calibri" w:hAnsi="Calibri"/>
                <w:color w:val="000000"/>
                <w:sz w:val="18"/>
                <w:szCs w:val="18"/>
              </w:rPr>
              <w:t>Patients with full-thickness cartilage lesion = 1,012</w:t>
            </w:r>
          </w:p>
          <w:p w14:paraId="164A4317" w14:textId="77777777" w:rsidR="00D80A55" w:rsidRPr="00A01261" w:rsidRDefault="00D80A55" w:rsidP="00D80A55">
            <w:pPr>
              <w:pStyle w:val="Ingetavstnd"/>
              <w:rPr>
                <w:rFonts w:hAnsiTheme="minorHAnsi" w:cstheme="minorHAnsi"/>
                <w:sz w:val="18"/>
                <w:szCs w:val="18"/>
              </w:rPr>
            </w:pPr>
          </w:p>
        </w:tc>
        <w:tc>
          <w:tcPr>
            <w:tcW w:w="444" w:type="pct"/>
            <w:vAlign w:val="center"/>
          </w:tcPr>
          <w:p w14:paraId="39FC9363" w14:textId="1E68C519" w:rsidR="00D80A55" w:rsidRPr="00A01261" w:rsidRDefault="00D80A55" w:rsidP="00D80A55">
            <w:pPr>
              <w:pStyle w:val="Ingetavstnd"/>
              <w:rPr>
                <w:rFonts w:hAnsiTheme="minorHAnsi" w:cstheme="minorHAnsi"/>
                <w:sz w:val="18"/>
                <w:szCs w:val="18"/>
              </w:rPr>
            </w:pPr>
            <w:proofErr w:type="spellStart"/>
            <w:r>
              <w:rPr>
                <w:rFonts w:hAnsiTheme="minorHAnsi" w:cstheme="minorHAnsi"/>
                <w:color w:val="000000"/>
                <w:sz w:val="18"/>
                <w:szCs w:val="18"/>
              </w:rPr>
              <w:t>n.a</w:t>
            </w:r>
            <w:proofErr w:type="spellEnd"/>
            <w:r>
              <w:rPr>
                <w:rFonts w:hAnsiTheme="minorHAnsi" w:cstheme="minorHAnsi"/>
                <w:color w:val="000000"/>
                <w:sz w:val="18"/>
                <w:szCs w:val="18"/>
              </w:rPr>
              <w:t>.</w:t>
            </w:r>
          </w:p>
        </w:tc>
        <w:tc>
          <w:tcPr>
            <w:tcW w:w="424" w:type="pct"/>
            <w:vAlign w:val="center"/>
          </w:tcPr>
          <w:p w14:paraId="345E1073" w14:textId="77777777" w:rsidR="00D80A55" w:rsidRDefault="00D80A55" w:rsidP="00D80A55">
            <w:pPr>
              <w:rPr>
                <w:rFonts w:ascii="Calibri" w:hAnsi="Calibri"/>
                <w:color w:val="000000"/>
                <w:sz w:val="18"/>
                <w:szCs w:val="18"/>
              </w:rPr>
            </w:pPr>
            <w:r>
              <w:rPr>
                <w:rFonts w:ascii="Calibri" w:hAnsi="Calibri"/>
                <w:color w:val="000000"/>
                <w:sz w:val="18"/>
                <w:szCs w:val="18"/>
              </w:rPr>
              <w:t xml:space="preserve">Logistic regression </w:t>
            </w:r>
          </w:p>
          <w:p w14:paraId="29AF0220" w14:textId="77777777" w:rsidR="00D80A55" w:rsidRPr="00A01261" w:rsidRDefault="00D80A55" w:rsidP="00D80A55">
            <w:pPr>
              <w:pStyle w:val="Ingetavstnd"/>
              <w:rPr>
                <w:rFonts w:hAnsiTheme="minorHAnsi" w:cstheme="minorHAnsi"/>
                <w:sz w:val="18"/>
                <w:szCs w:val="18"/>
              </w:rPr>
            </w:pPr>
          </w:p>
        </w:tc>
        <w:tc>
          <w:tcPr>
            <w:tcW w:w="932" w:type="pct"/>
            <w:vAlign w:val="center"/>
          </w:tcPr>
          <w:p w14:paraId="39F15234" w14:textId="17A9CBE2" w:rsidR="00D80A55" w:rsidRPr="00A01261" w:rsidRDefault="00D80A55" w:rsidP="00D80A55">
            <w:pPr>
              <w:pStyle w:val="Ingetavstnd"/>
              <w:rPr>
                <w:rFonts w:hAnsiTheme="minorHAnsi" w:cstheme="minorHAnsi"/>
                <w:sz w:val="18"/>
                <w:szCs w:val="18"/>
              </w:rPr>
            </w:pPr>
            <w:r>
              <w:rPr>
                <w:rFonts w:ascii="Calibri" w:hAnsi="Calibri"/>
                <w:color w:val="000000"/>
                <w:sz w:val="18"/>
                <w:szCs w:val="18"/>
              </w:rPr>
              <w:t xml:space="preserve">Males run an increased risk of full-thickness articular cartilage lesions in ACL-injured knees compared with females. Handball players run an increased risk of full-thickness lesions compared with other male athletes, while no other investigated sport had a significant effect on the risk in either gender. In addition, age, time from injury to surgery and previous knee surgery are risk factors for full-thickness cartilage lesions in ACL-injured knees. </w:t>
            </w:r>
          </w:p>
        </w:tc>
      </w:tr>
      <w:tr w:rsidR="00D80A55" w:rsidRPr="00A01261" w14:paraId="49539E26" w14:textId="77777777" w:rsidTr="00D80A55">
        <w:tc>
          <w:tcPr>
            <w:tcW w:w="448" w:type="pct"/>
            <w:vAlign w:val="center"/>
          </w:tcPr>
          <w:p w14:paraId="25955F2D" w14:textId="50C146B2" w:rsidR="00D80A55" w:rsidRPr="00A01261" w:rsidRDefault="00D80A55" w:rsidP="00D80A55">
            <w:pPr>
              <w:pStyle w:val="Ingetavstnd"/>
              <w:rPr>
                <w:rFonts w:hAnsiTheme="minorHAnsi" w:cstheme="minorHAnsi"/>
                <w:sz w:val="18"/>
                <w:szCs w:val="18"/>
              </w:rPr>
            </w:pPr>
            <w:proofErr w:type="spellStart"/>
            <w:r>
              <w:rPr>
                <w:rFonts w:ascii="Calibri" w:hAnsi="Calibri"/>
                <w:color w:val="000000"/>
                <w:sz w:val="18"/>
                <w:szCs w:val="18"/>
              </w:rPr>
              <w:lastRenderedPageBreak/>
              <w:t>R</w:t>
            </w:r>
            <w:r w:rsidRPr="00A15482">
              <w:rPr>
                <w:rFonts w:hAnsiTheme="minorHAnsi" w:cstheme="minorHAnsi"/>
                <w:sz w:val="18"/>
                <w:szCs w:val="18"/>
              </w:rPr>
              <w:t>ø</w:t>
            </w:r>
            <w:r>
              <w:rPr>
                <w:rFonts w:ascii="Calibri" w:hAnsi="Calibri"/>
                <w:color w:val="000000"/>
                <w:sz w:val="18"/>
                <w:szCs w:val="18"/>
              </w:rPr>
              <w:t>tterrud</w:t>
            </w:r>
            <w:proofErr w:type="spellEnd"/>
            <w:r>
              <w:rPr>
                <w:rFonts w:ascii="Calibri" w:hAnsi="Calibri"/>
                <w:color w:val="000000"/>
                <w:sz w:val="18"/>
                <w:szCs w:val="18"/>
              </w:rPr>
              <w:t xml:space="preserve"> et al (2012) </w:t>
            </w:r>
          </w:p>
        </w:tc>
        <w:tc>
          <w:tcPr>
            <w:tcW w:w="290" w:type="pct"/>
            <w:vAlign w:val="center"/>
          </w:tcPr>
          <w:p w14:paraId="6E7110C5" w14:textId="70B73B27" w:rsidR="00D80A55" w:rsidRDefault="00D80A55" w:rsidP="00D80A55">
            <w:pPr>
              <w:pStyle w:val="Ingetavstnd"/>
              <w:jc w:val="center"/>
              <w:rPr>
                <w:rFonts w:hAnsiTheme="minorHAnsi" w:cstheme="minorHAnsi"/>
                <w:color w:val="000000"/>
                <w:sz w:val="18"/>
                <w:szCs w:val="18"/>
              </w:rPr>
            </w:pPr>
            <w:r>
              <w:rPr>
                <w:rFonts w:hAnsiTheme="minorHAnsi" w:cstheme="minorHAnsi"/>
                <w:color w:val="000000"/>
                <w:sz w:val="18"/>
                <w:szCs w:val="18"/>
              </w:rPr>
              <w:t>Nor</w:t>
            </w:r>
          </w:p>
        </w:tc>
        <w:tc>
          <w:tcPr>
            <w:tcW w:w="260" w:type="pct"/>
            <w:vAlign w:val="center"/>
          </w:tcPr>
          <w:p w14:paraId="5AD478B8" w14:textId="3C67617A" w:rsidR="00D80A55" w:rsidRDefault="00D80A55" w:rsidP="00D80A55">
            <w:pPr>
              <w:pStyle w:val="Ingetavstnd"/>
              <w:jc w:val="center"/>
              <w:rPr>
                <w:rFonts w:ascii="Calibri" w:hAnsi="Calibri"/>
                <w:color w:val="000000"/>
                <w:sz w:val="18"/>
                <w:szCs w:val="18"/>
              </w:rPr>
            </w:pPr>
            <w:r>
              <w:rPr>
                <w:rFonts w:ascii="Calibri" w:hAnsi="Calibri"/>
                <w:color w:val="000000"/>
                <w:sz w:val="18"/>
                <w:szCs w:val="18"/>
              </w:rPr>
              <w:t>13</w:t>
            </w:r>
          </w:p>
        </w:tc>
        <w:tc>
          <w:tcPr>
            <w:tcW w:w="710" w:type="pct"/>
            <w:vAlign w:val="center"/>
          </w:tcPr>
          <w:p w14:paraId="029D4417" w14:textId="42015173" w:rsidR="00D80A55" w:rsidRPr="00A01261" w:rsidRDefault="00D80A55" w:rsidP="00D80A55">
            <w:pPr>
              <w:pStyle w:val="Ingetavstnd"/>
              <w:rPr>
                <w:rFonts w:hAnsiTheme="minorHAnsi" w:cstheme="minorHAnsi"/>
                <w:sz w:val="18"/>
                <w:szCs w:val="18"/>
              </w:rPr>
            </w:pPr>
            <w:r>
              <w:rPr>
                <w:rFonts w:ascii="Calibri" w:hAnsi="Calibri"/>
                <w:color w:val="000000"/>
                <w:sz w:val="18"/>
                <w:szCs w:val="18"/>
              </w:rPr>
              <w:t>Patients with focal full-thickness cartilage lesions (ICRS 3-4) benefit less from ACL reconstruction at 2-5 years follow-up</w:t>
            </w:r>
          </w:p>
        </w:tc>
        <w:tc>
          <w:tcPr>
            <w:tcW w:w="477" w:type="pct"/>
            <w:vAlign w:val="center"/>
          </w:tcPr>
          <w:p w14:paraId="6649D6D5" w14:textId="4826667C" w:rsidR="00D80A55" w:rsidRPr="00A01261" w:rsidRDefault="00D80A55" w:rsidP="00D80A55">
            <w:pPr>
              <w:pStyle w:val="Ingetavstnd"/>
              <w:rPr>
                <w:rFonts w:hAnsiTheme="minorHAnsi" w:cstheme="minorHAnsi"/>
                <w:sz w:val="18"/>
                <w:szCs w:val="18"/>
              </w:rPr>
            </w:pPr>
            <w:r>
              <w:rPr>
                <w:rFonts w:ascii="Calibri" w:hAnsi="Calibri"/>
                <w:color w:val="000000"/>
                <w:sz w:val="18"/>
                <w:szCs w:val="18"/>
              </w:rPr>
              <w:t>To compare patients with associated full-thickness cartilage lesion with patients without a cartilage lesion at index ACLR</w:t>
            </w:r>
          </w:p>
        </w:tc>
        <w:tc>
          <w:tcPr>
            <w:tcW w:w="574" w:type="pct"/>
            <w:vAlign w:val="center"/>
          </w:tcPr>
          <w:p w14:paraId="39C3973A" w14:textId="04368A01" w:rsidR="00D80A55" w:rsidRPr="00A01261" w:rsidRDefault="00D80A55" w:rsidP="00D80A55">
            <w:pPr>
              <w:pStyle w:val="Ingetavstnd"/>
              <w:rPr>
                <w:rFonts w:hAnsiTheme="minorHAnsi" w:cstheme="minorHAnsi"/>
                <w:sz w:val="18"/>
                <w:szCs w:val="18"/>
              </w:rPr>
            </w:pPr>
            <w:r>
              <w:rPr>
                <w:rFonts w:ascii="Calibri" w:hAnsi="Calibri"/>
                <w:color w:val="000000"/>
                <w:sz w:val="18"/>
                <w:szCs w:val="18"/>
              </w:rPr>
              <w:t>KOOS</w:t>
            </w:r>
          </w:p>
        </w:tc>
        <w:tc>
          <w:tcPr>
            <w:tcW w:w="441" w:type="pct"/>
            <w:vAlign w:val="center"/>
          </w:tcPr>
          <w:p w14:paraId="3B58EB81" w14:textId="77777777" w:rsidR="00D80A55" w:rsidRDefault="00D80A55" w:rsidP="00D80A55">
            <w:pPr>
              <w:rPr>
                <w:rFonts w:ascii="Calibri" w:hAnsi="Calibri"/>
                <w:color w:val="000000"/>
                <w:sz w:val="18"/>
                <w:szCs w:val="18"/>
              </w:rPr>
            </w:pPr>
            <w:r>
              <w:rPr>
                <w:rFonts w:ascii="Calibri" w:hAnsi="Calibri"/>
                <w:color w:val="000000"/>
                <w:sz w:val="18"/>
                <w:szCs w:val="18"/>
              </w:rPr>
              <w:t>N = 90</w:t>
            </w:r>
          </w:p>
          <w:p w14:paraId="1F8D617E" w14:textId="5D4F94F8" w:rsidR="00D80A55" w:rsidRPr="00A01261" w:rsidRDefault="00D80A55" w:rsidP="00D80A55">
            <w:pPr>
              <w:pStyle w:val="Ingetavstnd"/>
              <w:rPr>
                <w:rFonts w:hAnsiTheme="minorHAnsi" w:cstheme="minorHAnsi"/>
                <w:sz w:val="18"/>
                <w:szCs w:val="18"/>
              </w:rPr>
            </w:pPr>
            <w:r>
              <w:rPr>
                <w:rFonts w:ascii="Calibri" w:hAnsi="Calibri"/>
                <w:color w:val="000000"/>
                <w:sz w:val="18"/>
                <w:szCs w:val="18"/>
              </w:rPr>
              <w:t>Patients with associated full-thickness cartilage lesions = 30</w:t>
            </w:r>
          </w:p>
        </w:tc>
        <w:tc>
          <w:tcPr>
            <w:tcW w:w="444" w:type="pct"/>
            <w:vAlign w:val="center"/>
          </w:tcPr>
          <w:p w14:paraId="0DE1D4F3" w14:textId="08B6F9A8" w:rsidR="00D80A55" w:rsidRPr="00F47F68" w:rsidRDefault="00D80A55" w:rsidP="00D80A55">
            <w:pPr>
              <w:pStyle w:val="Ingetavstnd"/>
              <w:rPr>
                <w:rFonts w:hAnsiTheme="minorHAnsi" w:cstheme="minorHAnsi"/>
                <w:color w:val="000000"/>
                <w:sz w:val="18"/>
                <w:szCs w:val="18"/>
              </w:rPr>
            </w:pPr>
            <w:r>
              <w:rPr>
                <w:rFonts w:hAnsiTheme="minorHAnsi" w:cstheme="minorHAnsi"/>
                <w:color w:val="000000"/>
                <w:sz w:val="18"/>
                <w:szCs w:val="18"/>
              </w:rPr>
              <w:t xml:space="preserve">Mean </w:t>
            </w:r>
            <w:r>
              <w:rPr>
                <w:rFonts w:ascii="Calibri" w:hAnsi="Calibri"/>
                <w:color w:val="000000"/>
                <w:sz w:val="18"/>
                <w:szCs w:val="18"/>
              </w:rPr>
              <w:t xml:space="preserve">2.7 years  </w:t>
            </w:r>
          </w:p>
        </w:tc>
        <w:tc>
          <w:tcPr>
            <w:tcW w:w="424" w:type="pct"/>
            <w:vAlign w:val="center"/>
          </w:tcPr>
          <w:p w14:paraId="2BB32E45" w14:textId="4AB603C9" w:rsidR="00D80A55" w:rsidRPr="00A01261" w:rsidRDefault="00D80A55" w:rsidP="00D80A55">
            <w:pPr>
              <w:pStyle w:val="Ingetavstnd"/>
              <w:rPr>
                <w:rFonts w:hAnsiTheme="minorHAnsi" w:cstheme="minorHAnsi"/>
                <w:sz w:val="18"/>
                <w:szCs w:val="18"/>
              </w:rPr>
            </w:pPr>
            <w:r>
              <w:rPr>
                <w:rFonts w:ascii="Calibri" w:hAnsi="Calibri"/>
                <w:color w:val="000000"/>
                <w:sz w:val="18"/>
                <w:szCs w:val="18"/>
              </w:rPr>
              <w:t xml:space="preserve">1-2 paired samples t-test and </w:t>
            </w:r>
            <w:proofErr w:type="spellStart"/>
            <w:r>
              <w:rPr>
                <w:rFonts w:ascii="Calibri" w:hAnsi="Calibri"/>
                <w:color w:val="000000"/>
                <w:sz w:val="18"/>
                <w:szCs w:val="18"/>
              </w:rPr>
              <w:t>standardised</w:t>
            </w:r>
            <w:proofErr w:type="spellEnd"/>
            <w:r>
              <w:rPr>
                <w:rFonts w:ascii="Calibri" w:hAnsi="Calibri"/>
                <w:color w:val="000000"/>
                <w:sz w:val="18"/>
                <w:szCs w:val="18"/>
              </w:rPr>
              <w:t xml:space="preserve"> response mean</w:t>
            </w:r>
          </w:p>
        </w:tc>
        <w:tc>
          <w:tcPr>
            <w:tcW w:w="932" w:type="pct"/>
            <w:vAlign w:val="center"/>
          </w:tcPr>
          <w:p w14:paraId="1402C531" w14:textId="19948F59" w:rsidR="00D80A55" w:rsidRPr="00A01261" w:rsidRDefault="00D80A55" w:rsidP="00D80A55">
            <w:pPr>
              <w:pStyle w:val="Ingetavstnd"/>
              <w:rPr>
                <w:rFonts w:hAnsiTheme="minorHAnsi" w:cstheme="minorHAnsi"/>
                <w:sz w:val="18"/>
                <w:szCs w:val="18"/>
              </w:rPr>
            </w:pPr>
            <w:r>
              <w:rPr>
                <w:rFonts w:ascii="Calibri" w:hAnsi="Calibri"/>
                <w:color w:val="000000"/>
                <w:sz w:val="18"/>
                <w:szCs w:val="18"/>
              </w:rPr>
              <w:t>ACL-injured patients with a concomitant full-thickness cartilage lesion report impaired outcomes after ACLR compared with patients without these lesions.</w:t>
            </w:r>
          </w:p>
        </w:tc>
      </w:tr>
      <w:tr w:rsidR="00D80A55" w:rsidRPr="00A01261" w14:paraId="41568850" w14:textId="77777777" w:rsidTr="00D80A55">
        <w:tc>
          <w:tcPr>
            <w:tcW w:w="448" w:type="pct"/>
            <w:vAlign w:val="center"/>
          </w:tcPr>
          <w:p w14:paraId="330A3185" w14:textId="6FBB8C50" w:rsidR="00D80A55" w:rsidRPr="00A01261" w:rsidRDefault="00D80A55" w:rsidP="00D80A55">
            <w:pPr>
              <w:pStyle w:val="Ingetavstnd"/>
              <w:rPr>
                <w:rFonts w:hAnsiTheme="minorHAnsi" w:cstheme="minorHAnsi"/>
                <w:sz w:val="18"/>
                <w:szCs w:val="18"/>
              </w:rPr>
            </w:pPr>
            <w:proofErr w:type="spellStart"/>
            <w:r>
              <w:rPr>
                <w:rFonts w:ascii="Calibri" w:hAnsi="Calibri"/>
                <w:color w:val="000000"/>
                <w:sz w:val="18"/>
                <w:szCs w:val="18"/>
              </w:rPr>
              <w:t>R</w:t>
            </w:r>
            <w:r w:rsidRPr="00A15482">
              <w:rPr>
                <w:rFonts w:hAnsiTheme="minorHAnsi" w:cstheme="minorHAnsi"/>
                <w:sz w:val="18"/>
                <w:szCs w:val="18"/>
              </w:rPr>
              <w:t>ø</w:t>
            </w:r>
            <w:r>
              <w:rPr>
                <w:rFonts w:ascii="Calibri" w:hAnsi="Calibri"/>
                <w:color w:val="000000"/>
                <w:sz w:val="18"/>
                <w:szCs w:val="18"/>
              </w:rPr>
              <w:t>tterrud</w:t>
            </w:r>
            <w:proofErr w:type="spellEnd"/>
            <w:r>
              <w:rPr>
                <w:rFonts w:ascii="Calibri" w:hAnsi="Calibri"/>
                <w:color w:val="000000"/>
                <w:sz w:val="18"/>
                <w:szCs w:val="18"/>
              </w:rPr>
              <w:t xml:space="preserve"> et al (2013) </w:t>
            </w:r>
          </w:p>
        </w:tc>
        <w:tc>
          <w:tcPr>
            <w:tcW w:w="290" w:type="pct"/>
            <w:vAlign w:val="center"/>
          </w:tcPr>
          <w:p w14:paraId="291A9695" w14:textId="2F99BBF1" w:rsidR="00D80A55" w:rsidRDefault="00D80A55" w:rsidP="00D80A55">
            <w:pPr>
              <w:pStyle w:val="Ingetavstnd"/>
              <w:jc w:val="center"/>
              <w:rPr>
                <w:rFonts w:hAnsiTheme="minorHAnsi" w:cstheme="minorHAnsi"/>
                <w:color w:val="000000"/>
                <w:sz w:val="18"/>
                <w:szCs w:val="18"/>
              </w:rPr>
            </w:pPr>
            <w:r>
              <w:rPr>
                <w:rFonts w:hAnsiTheme="minorHAnsi" w:cstheme="minorHAnsi"/>
                <w:color w:val="000000"/>
                <w:sz w:val="18"/>
                <w:szCs w:val="18"/>
              </w:rPr>
              <w:t xml:space="preserve">Nor </w:t>
            </w:r>
            <w:proofErr w:type="spellStart"/>
            <w:r>
              <w:rPr>
                <w:rFonts w:hAnsiTheme="minorHAnsi" w:cstheme="minorHAnsi"/>
                <w:color w:val="000000"/>
                <w:sz w:val="18"/>
                <w:szCs w:val="18"/>
              </w:rPr>
              <w:t>Swe</w:t>
            </w:r>
            <w:proofErr w:type="spellEnd"/>
          </w:p>
        </w:tc>
        <w:tc>
          <w:tcPr>
            <w:tcW w:w="260" w:type="pct"/>
            <w:vAlign w:val="center"/>
          </w:tcPr>
          <w:p w14:paraId="320E53CB" w14:textId="316A8E42" w:rsidR="00D80A55" w:rsidRDefault="00D80A55" w:rsidP="00D80A55">
            <w:pPr>
              <w:pStyle w:val="Ingetavstnd"/>
              <w:jc w:val="center"/>
              <w:rPr>
                <w:rFonts w:ascii="Calibri" w:hAnsi="Calibri"/>
                <w:color w:val="000000"/>
                <w:sz w:val="18"/>
                <w:szCs w:val="18"/>
              </w:rPr>
            </w:pPr>
            <w:r>
              <w:rPr>
                <w:rFonts w:ascii="Calibri" w:hAnsi="Calibri"/>
                <w:color w:val="000000"/>
                <w:sz w:val="18"/>
                <w:szCs w:val="18"/>
              </w:rPr>
              <w:t>20</w:t>
            </w:r>
          </w:p>
        </w:tc>
        <w:tc>
          <w:tcPr>
            <w:tcW w:w="710" w:type="pct"/>
            <w:vAlign w:val="center"/>
          </w:tcPr>
          <w:p w14:paraId="7C0F8EBE" w14:textId="24281DDC" w:rsidR="00D80A55" w:rsidRPr="00A01261" w:rsidRDefault="00D80A55" w:rsidP="00D80A55">
            <w:pPr>
              <w:pStyle w:val="Ingetavstnd"/>
              <w:rPr>
                <w:rFonts w:hAnsiTheme="minorHAnsi" w:cstheme="minorHAnsi"/>
                <w:sz w:val="18"/>
                <w:szCs w:val="18"/>
              </w:rPr>
            </w:pPr>
            <w:r>
              <w:rPr>
                <w:rFonts w:ascii="Calibri" w:hAnsi="Calibri"/>
                <w:color w:val="000000"/>
                <w:sz w:val="18"/>
                <w:szCs w:val="18"/>
              </w:rPr>
              <w:t>Effect of Meniscal and Focal Cartilage Lesions on Patient-Reported Outcome After ACLR – A Nationwide Cohort Study From Norway and Sweden of 8,476 Patients With Two-Year Follow-up</w:t>
            </w:r>
          </w:p>
        </w:tc>
        <w:tc>
          <w:tcPr>
            <w:tcW w:w="477" w:type="pct"/>
            <w:vAlign w:val="center"/>
          </w:tcPr>
          <w:p w14:paraId="7BE40D33" w14:textId="1D1AEDCF" w:rsidR="00D80A55" w:rsidRPr="00A01261" w:rsidRDefault="00D80A55" w:rsidP="00D80A55">
            <w:pPr>
              <w:pStyle w:val="Ingetavstnd"/>
              <w:rPr>
                <w:rFonts w:hAnsiTheme="minorHAnsi" w:cstheme="minorHAnsi"/>
                <w:sz w:val="18"/>
                <w:szCs w:val="18"/>
              </w:rPr>
            </w:pPr>
            <w:r>
              <w:rPr>
                <w:rFonts w:ascii="Calibri" w:hAnsi="Calibri"/>
                <w:color w:val="000000"/>
                <w:sz w:val="18"/>
                <w:szCs w:val="18"/>
              </w:rPr>
              <w:t>To evaluate the effect of meniscal lesions, partial-thickness cartilage lesions and full-thickness cartilage lesions on PROMs after ACLR</w:t>
            </w:r>
          </w:p>
        </w:tc>
        <w:tc>
          <w:tcPr>
            <w:tcW w:w="574" w:type="pct"/>
            <w:vAlign w:val="center"/>
          </w:tcPr>
          <w:p w14:paraId="76DB593B" w14:textId="2D21DEB7" w:rsidR="00D80A55" w:rsidRPr="00A01261" w:rsidRDefault="00D80A55" w:rsidP="00D80A55">
            <w:pPr>
              <w:pStyle w:val="Ingetavstnd"/>
              <w:rPr>
                <w:rFonts w:hAnsiTheme="minorHAnsi" w:cstheme="minorHAnsi"/>
                <w:sz w:val="18"/>
                <w:szCs w:val="18"/>
              </w:rPr>
            </w:pPr>
            <w:r>
              <w:rPr>
                <w:rFonts w:ascii="Calibri" w:hAnsi="Calibri"/>
                <w:color w:val="000000"/>
                <w:sz w:val="18"/>
                <w:szCs w:val="18"/>
              </w:rPr>
              <w:t>KOOS</w:t>
            </w:r>
          </w:p>
        </w:tc>
        <w:tc>
          <w:tcPr>
            <w:tcW w:w="441" w:type="pct"/>
            <w:vAlign w:val="center"/>
          </w:tcPr>
          <w:p w14:paraId="0769D505" w14:textId="77777777" w:rsidR="00D80A55" w:rsidRDefault="00D80A55" w:rsidP="00D80A55">
            <w:pPr>
              <w:rPr>
                <w:rFonts w:ascii="Calibri" w:hAnsi="Calibri"/>
                <w:color w:val="000000"/>
                <w:sz w:val="18"/>
                <w:szCs w:val="18"/>
              </w:rPr>
            </w:pPr>
            <w:r>
              <w:rPr>
                <w:rFonts w:ascii="Calibri" w:hAnsi="Calibri"/>
                <w:color w:val="000000"/>
                <w:sz w:val="18"/>
                <w:szCs w:val="18"/>
              </w:rPr>
              <w:t xml:space="preserve">N = 8,476 </w:t>
            </w:r>
          </w:p>
          <w:p w14:paraId="021DDFAF" w14:textId="3789C8B2" w:rsidR="00D80A55" w:rsidRDefault="00D80A55" w:rsidP="00D80A55">
            <w:pPr>
              <w:rPr>
                <w:rFonts w:ascii="Calibri" w:hAnsi="Calibri"/>
                <w:color w:val="000000"/>
                <w:sz w:val="18"/>
                <w:szCs w:val="18"/>
              </w:rPr>
            </w:pPr>
            <w:r>
              <w:rPr>
                <w:rFonts w:ascii="Calibri" w:hAnsi="Calibri"/>
                <w:color w:val="000000"/>
                <w:sz w:val="18"/>
                <w:szCs w:val="18"/>
              </w:rPr>
              <w:t>(Females = 48%)</w:t>
            </w:r>
          </w:p>
          <w:p w14:paraId="4F1AFF43" w14:textId="77777777" w:rsidR="00D80A55" w:rsidRDefault="00D80A55" w:rsidP="00D80A55">
            <w:pPr>
              <w:rPr>
                <w:rFonts w:ascii="Calibri" w:hAnsi="Calibri"/>
                <w:color w:val="000000"/>
                <w:sz w:val="18"/>
                <w:szCs w:val="18"/>
              </w:rPr>
            </w:pPr>
            <w:r>
              <w:rPr>
                <w:rFonts w:ascii="Calibri" w:hAnsi="Calibri"/>
                <w:color w:val="000000"/>
                <w:sz w:val="18"/>
                <w:szCs w:val="18"/>
              </w:rPr>
              <w:t>Meniscal lesions = 3,674</w:t>
            </w:r>
          </w:p>
          <w:p w14:paraId="59BF7A24" w14:textId="77777777" w:rsidR="00D80A55" w:rsidRDefault="00D80A55" w:rsidP="00D80A55">
            <w:pPr>
              <w:rPr>
                <w:rFonts w:ascii="Calibri" w:hAnsi="Calibri"/>
                <w:color w:val="000000"/>
                <w:sz w:val="18"/>
                <w:szCs w:val="18"/>
              </w:rPr>
            </w:pPr>
            <w:r>
              <w:rPr>
                <w:rFonts w:ascii="Calibri" w:hAnsi="Calibri"/>
                <w:color w:val="000000"/>
                <w:sz w:val="18"/>
                <w:szCs w:val="18"/>
              </w:rPr>
              <w:t>Cartilage lesions = 2,247</w:t>
            </w:r>
          </w:p>
          <w:p w14:paraId="57FB2870" w14:textId="77777777" w:rsidR="00D80A55" w:rsidRPr="00A01261" w:rsidRDefault="00D80A55" w:rsidP="00D80A55">
            <w:pPr>
              <w:pStyle w:val="Ingetavstnd"/>
              <w:rPr>
                <w:rFonts w:hAnsiTheme="minorHAnsi" w:cstheme="minorHAnsi"/>
                <w:sz w:val="18"/>
                <w:szCs w:val="18"/>
              </w:rPr>
            </w:pPr>
          </w:p>
        </w:tc>
        <w:tc>
          <w:tcPr>
            <w:tcW w:w="444" w:type="pct"/>
            <w:vAlign w:val="center"/>
          </w:tcPr>
          <w:p w14:paraId="594B4234" w14:textId="2855AF5B" w:rsidR="00D80A55" w:rsidRPr="00A01261" w:rsidRDefault="00D80A55" w:rsidP="00D80A55">
            <w:pPr>
              <w:pStyle w:val="Ingetavstnd"/>
              <w:rPr>
                <w:rFonts w:hAnsiTheme="minorHAnsi" w:cstheme="minorHAnsi"/>
                <w:sz w:val="18"/>
                <w:szCs w:val="18"/>
              </w:rPr>
            </w:pPr>
            <w:r>
              <w:rPr>
                <w:rFonts w:hAnsiTheme="minorHAnsi" w:cstheme="minorHAnsi"/>
                <w:color w:val="000000"/>
                <w:sz w:val="18"/>
                <w:szCs w:val="18"/>
              </w:rPr>
              <w:t>2 years</w:t>
            </w:r>
          </w:p>
        </w:tc>
        <w:tc>
          <w:tcPr>
            <w:tcW w:w="424" w:type="pct"/>
            <w:vAlign w:val="center"/>
          </w:tcPr>
          <w:p w14:paraId="3737A5D9" w14:textId="04EB2551" w:rsidR="00D80A55" w:rsidRPr="00A01261" w:rsidRDefault="00D80A55" w:rsidP="00D80A55">
            <w:pPr>
              <w:pStyle w:val="Ingetavstnd"/>
              <w:rPr>
                <w:rFonts w:hAnsiTheme="minorHAnsi" w:cstheme="minorHAnsi"/>
                <w:sz w:val="18"/>
                <w:szCs w:val="18"/>
              </w:rPr>
            </w:pPr>
            <w:r>
              <w:rPr>
                <w:rFonts w:ascii="Calibri" w:hAnsi="Calibri"/>
                <w:color w:val="000000"/>
                <w:sz w:val="18"/>
                <w:szCs w:val="18"/>
              </w:rPr>
              <w:t>Linear regression model. Adjusted multiple regression model</w:t>
            </w:r>
          </w:p>
        </w:tc>
        <w:tc>
          <w:tcPr>
            <w:tcW w:w="932" w:type="pct"/>
            <w:vAlign w:val="center"/>
          </w:tcPr>
          <w:p w14:paraId="4C0348A7" w14:textId="77777777" w:rsidR="00D80A55" w:rsidRDefault="00D80A55" w:rsidP="00D80A55">
            <w:pPr>
              <w:rPr>
                <w:rFonts w:ascii="Calibri" w:hAnsi="Calibri"/>
                <w:color w:val="000000"/>
                <w:sz w:val="18"/>
                <w:szCs w:val="18"/>
              </w:rPr>
            </w:pPr>
            <w:r>
              <w:rPr>
                <w:rFonts w:ascii="Calibri" w:hAnsi="Calibri"/>
                <w:color w:val="000000"/>
                <w:sz w:val="18"/>
                <w:szCs w:val="18"/>
              </w:rPr>
              <w:t>Patients with concomitant full-thickness cartilage lesions reported more pain and symptoms, impaired function in activities of daily living, sports and recreation and reduced knee-related quality of life, compared with patients without cartilage lesions two years after ACL reconstruction. Meniscal lesions and partial-thickness cartilage lesions did not impair PROMs.</w:t>
            </w:r>
          </w:p>
          <w:p w14:paraId="6CE25151" w14:textId="77777777" w:rsidR="00D80A55" w:rsidRPr="00A01261" w:rsidRDefault="00D80A55" w:rsidP="00D80A55">
            <w:pPr>
              <w:pStyle w:val="Ingetavstnd"/>
              <w:rPr>
                <w:rFonts w:hAnsiTheme="minorHAnsi" w:cstheme="minorHAnsi"/>
                <w:sz w:val="18"/>
                <w:szCs w:val="18"/>
              </w:rPr>
            </w:pPr>
          </w:p>
        </w:tc>
      </w:tr>
      <w:tr w:rsidR="00D80A55" w:rsidRPr="00A01261" w14:paraId="6AA9314C" w14:textId="77777777" w:rsidTr="00D80A55">
        <w:tc>
          <w:tcPr>
            <w:tcW w:w="448" w:type="pct"/>
            <w:vAlign w:val="center"/>
          </w:tcPr>
          <w:p w14:paraId="3A0B21F4" w14:textId="17ABB61D" w:rsidR="00D80A55" w:rsidRPr="00A01261" w:rsidRDefault="00D80A55" w:rsidP="00D80A55">
            <w:pPr>
              <w:pStyle w:val="Ingetavstnd"/>
              <w:rPr>
                <w:rFonts w:hAnsiTheme="minorHAnsi" w:cstheme="minorHAnsi"/>
                <w:sz w:val="18"/>
                <w:szCs w:val="18"/>
              </w:rPr>
            </w:pPr>
            <w:proofErr w:type="spellStart"/>
            <w:r>
              <w:rPr>
                <w:rFonts w:ascii="Calibri" w:hAnsi="Calibri"/>
                <w:color w:val="000000"/>
                <w:sz w:val="18"/>
                <w:szCs w:val="18"/>
              </w:rPr>
              <w:t>R</w:t>
            </w:r>
            <w:r w:rsidRPr="00A15482">
              <w:rPr>
                <w:rFonts w:hAnsiTheme="minorHAnsi" w:cstheme="minorHAnsi"/>
                <w:sz w:val="18"/>
                <w:szCs w:val="18"/>
              </w:rPr>
              <w:t>ø</w:t>
            </w:r>
            <w:r>
              <w:rPr>
                <w:rFonts w:ascii="Calibri" w:hAnsi="Calibri"/>
                <w:color w:val="000000"/>
                <w:sz w:val="18"/>
                <w:szCs w:val="18"/>
              </w:rPr>
              <w:t>tterrud</w:t>
            </w:r>
            <w:proofErr w:type="spellEnd"/>
            <w:r>
              <w:rPr>
                <w:rFonts w:ascii="Calibri" w:hAnsi="Calibri"/>
                <w:color w:val="000000"/>
                <w:sz w:val="18"/>
                <w:szCs w:val="18"/>
              </w:rPr>
              <w:t xml:space="preserve"> et al (2016) </w:t>
            </w:r>
          </w:p>
        </w:tc>
        <w:tc>
          <w:tcPr>
            <w:tcW w:w="290" w:type="pct"/>
            <w:vAlign w:val="center"/>
          </w:tcPr>
          <w:p w14:paraId="5822557F" w14:textId="5755DEBE" w:rsidR="00D80A55" w:rsidRDefault="00D80A55" w:rsidP="00D80A55">
            <w:pPr>
              <w:pStyle w:val="Ingetavstnd"/>
              <w:jc w:val="center"/>
              <w:rPr>
                <w:rFonts w:hAnsiTheme="minorHAnsi" w:cstheme="minorHAnsi"/>
                <w:color w:val="000000"/>
                <w:sz w:val="18"/>
                <w:szCs w:val="18"/>
              </w:rPr>
            </w:pPr>
            <w:r>
              <w:rPr>
                <w:rFonts w:hAnsiTheme="minorHAnsi" w:cstheme="minorHAnsi"/>
                <w:color w:val="000000"/>
                <w:sz w:val="18"/>
                <w:szCs w:val="18"/>
              </w:rPr>
              <w:t xml:space="preserve">Nor </w:t>
            </w:r>
            <w:proofErr w:type="spellStart"/>
            <w:r>
              <w:rPr>
                <w:rFonts w:hAnsiTheme="minorHAnsi" w:cstheme="minorHAnsi"/>
                <w:color w:val="000000"/>
                <w:sz w:val="18"/>
                <w:szCs w:val="18"/>
              </w:rPr>
              <w:t>Swe</w:t>
            </w:r>
            <w:proofErr w:type="spellEnd"/>
          </w:p>
        </w:tc>
        <w:tc>
          <w:tcPr>
            <w:tcW w:w="260" w:type="pct"/>
            <w:vAlign w:val="center"/>
          </w:tcPr>
          <w:p w14:paraId="33044F26" w14:textId="3CFEFEF5" w:rsidR="00D80A55" w:rsidRDefault="00D80A55" w:rsidP="00D80A55">
            <w:pPr>
              <w:pStyle w:val="Ingetavstnd"/>
              <w:jc w:val="center"/>
              <w:rPr>
                <w:rFonts w:ascii="Calibri" w:hAnsi="Calibri"/>
                <w:color w:val="000000"/>
                <w:sz w:val="18"/>
                <w:szCs w:val="18"/>
              </w:rPr>
            </w:pPr>
            <w:r>
              <w:rPr>
                <w:rFonts w:ascii="Calibri" w:hAnsi="Calibri"/>
                <w:color w:val="000000"/>
                <w:sz w:val="18"/>
                <w:szCs w:val="18"/>
              </w:rPr>
              <w:t>20</w:t>
            </w:r>
          </w:p>
        </w:tc>
        <w:tc>
          <w:tcPr>
            <w:tcW w:w="710" w:type="pct"/>
            <w:vAlign w:val="center"/>
          </w:tcPr>
          <w:p w14:paraId="3836CA65" w14:textId="6AB16889" w:rsidR="00D80A55" w:rsidRPr="00A01261" w:rsidRDefault="00D80A55" w:rsidP="00D80A55">
            <w:pPr>
              <w:pStyle w:val="Ingetavstnd"/>
              <w:rPr>
                <w:rFonts w:hAnsiTheme="minorHAnsi" w:cstheme="minorHAnsi"/>
                <w:sz w:val="18"/>
                <w:szCs w:val="18"/>
              </w:rPr>
            </w:pPr>
            <w:r>
              <w:rPr>
                <w:rFonts w:ascii="Calibri" w:hAnsi="Calibri"/>
                <w:color w:val="000000"/>
                <w:sz w:val="18"/>
                <w:szCs w:val="18"/>
              </w:rPr>
              <w:t>Effect on PROMs of Debridement or Microfracture of Concomitant Full-Thickness Cartilage Lesions in ACLR Knees: A Nationwide Cohort Study From Norway and Sweden of 357 Patients With Two-year Follow-up.</w:t>
            </w:r>
          </w:p>
        </w:tc>
        <w:tc>
          <w:tcPr>
            <w:tcW w:w="477" w:type="pct"/>
            <w:vAlign w:val="center"/>
          </w:tcPr>
          <w:p w14:paraId="28FF55B1" w14:textId="6796AF26" w:rsidR="00D80A55" w:rsidRPr="00A01261" w:rsidRDefault="00D80A55" w:rsidP="00D80A55">
            <w:pPr>
              <w:pStyle w:val="Ingetavstnd"/>
              <w:rPr>
                <w:rFonts w:hAnsiTheme="minorHAnsi" w:cstheme="minorHAnsi"/>
                <w:sz w:val="18"/>
                <w:szCs w:val="18"/>
              </w:rPr>
            </w:pPr>
            <w:r>
              <w:rPr>
                <w:rFonts w:ascii="Calibri" w:hAnsi="Calibri"/>
                <w:color w:val="000000"/>
                <w:sz w:val="18"/>
                <w:szCs w:val="18"/>
              </w:rPr>
              <w:t>To evaluate the effect of debridement or microfracture of full-thickness cartilage lesions on PROMs after ACLR as measured by the KOOS at two-year follow-up</w:t>
            </w:r>
          </w:p>
        </w:tc>
        <w:tc>
          <w:tcPr>
            <w:tcW w:w="574" w:type="pct"/>
            <w:vAlign w:val="center"/>
          </w:tcPr>
          <w:p w14:paraId="66872856" w14:textId="1ACA3D24" w:rsidR="00D80A55" w:rsidRPr="00A01261" w:rsidRDefault="00D80A55" w:rsidP="00D80A55">
            <w:pPr>
              <w:pStyle w:val="Ingetavstnd"/>
              <w:rPr>
                <w:rFonts w:hAnsiTheme="minorHAnsi" w:cstheme="minorHAnsi"/>
                <w:sz w:val="18"/>
                <w:szCs w:val="18"/>
              </w:rPr>
            </w:pPr>
            <w:r>
              <w:rPr>
                <w:rFonts w:ascii="Calibri" w:hAnsi="Calibri"/>
                <w:color w:val="000000"/>
                <w:sz w:val="18"/>
                <w:szCs w:val="18"/>
              </w:rPr>
              <w:t>KOOS</w:t>
            </w:r>
          </w:p>
        </w:tc>
        <w:tc>
          <w:tcPr>
            <w:tcW w:w="441" w:type="pct"/>
            <w:vAlign w:val="center"/>
          </w:tcPr>
          <w:p w14:paraId="5B985CFA" w14:textId="77777777" w:rsidR="00D80A55" w:rsidRDefault="00D80A55" w:rsidP="00D80A55">
            <w:pPr>
              <w:rPr>
                <w:rFonts w:ascii="Calibri" w:hAnsi="Calibri"/>
                <w:color w:val="000000"/>
                <w:sz w:val="18"/>
                <w:szCs w:val="18"/>
              </w:rPr>
            </w:pPr>
            <w:r>
              <w:rPr>
                <w:rFonts w:ascii="Calibri" w:hAnsi="Calibri"/>
                <w:color w:val="000000"/>
                <w:sz w:val="18"/>
                <w:szCs w:val="18"/>
              </w:rPr>
              <w:t>N = 644</w:t>
            </w:r>
          </w:p>
          <w:p w14:paraId="7F33C6EC" w14:textId="77777777" w:rsidR="00D80A55" w:rsidRDefault="00D80A55" w:rsidP="00D80A55">
            <w:pPr>
              <w:rPr>
                <w:rFonts w:ascii="Calibri" w:hAnsi="Calibri"/>
                <w:color w:val="000000"/>
                <w:sz w:val="18"/>
                <w:szCs w:val="18"/>
              </w:rPr>
            </w:pPr>
            <w:r>
              <w:rPr>
                <w:rFonts w:ascii="Calibri" w:hAnsi="Calibri"/>
                <w:color w:val="000000"/>
                <w:sz w:val="18"/>
                <w:szCs w:val="18"/>
              </w:rPr>
              <w:t>No Treatment = 164</w:t>
            </w:r>
          </w:p>
          <w:p w14:paraId="00633F5A" w14:textId="77777777" w:rsidR="00D80A55" w:rsidRDefault="00D80A55" w:rsidP="00D80A55">
            <w:pPr>
              <w:rPr>
                <w:rFonts w:ascii="Calibri" w:hAnsi="Calibri"/>
                <w:color w:val="000000"/>
                <w:sz w:val="18"/>
                <w:szCs w:val="18"/>
              </w:rPr>
            </w:pPr>
            <w:r>
              <w:rPr>
                <w:rFonts w:ascii="Calibri" w:hAnsi="Calibri"/>
                <w:color w:val="000000"/>
                <w:sz w:val="18"/>
                <w:szCs w:val="18"/>
              </w:rPr>
              <w:t>Debridement = 129</w:t>
            </w:r>
          </w:p>
          <w:p w14:paraId="7A821DA8" w14:textId="77777777" w:rsidR="00D80A55" w:rsidRDefault="00D80A55" w:rsidP="00D80A55">
            <w:pPr>
              <w:rPr>
                <w:rFonts w:ascii="Calibri" w:hAnsi="Calibri"/>
                <w:color w:val="000000"/>
                <w:sz w:val="18"/>
                <w:szCs w:val="18"/>
              </w:rPr>
            </w:pPr>
            <w:r>
              <w:rPr>
                <w:rFonts w:ascii="Calibri" w:hAnsi="Calibri"/>
                <w:color w:val="000000"/>
                <w:sz w:val="18"/>
                <w:szCs w:val="18"/>
              </w:rPr>
              <w:t>Microfracture = 351</w:t>
            </w:r>
          </w:p>
          <w:p w14:paraId="6A235E8E" w14:textId="77777777" w:rsidR="00D80A55" w:rsidRPr="00A01261" w:rsidRDefault="00D80A55" w:rsidP="00D80A55">
            <w:pPr>
              <w:pStyle w:val="Ingetavstnd"/>
              <w:rPr>
                <w:rFonts w:hAnsiTheme="minorHAnsi" w:cstheme="minorHAnsi"/>
                <w:sz w:val="18"/>
                <w:szCs w:val="18"/>
              </w:rPr>
            </w:pPr>
          </w:p>
        </w:tc>
        <w:tc>
          <w:tcPr>
            <w:tcW w:w="444" w:type="pct"/>
            <w:vAlign w:val="center"/>
          </w:tcPr>
          <w:p w14:paraId="69EF5C54" w14:textId="3CAE0EBE" w:rsidR="00D80A55" w:rsidRPr="00A01261" w:rsidRDefault="00D80A55" w:rsidP="00D80A55">
            <w:pPr>
              <w:pStyle w:val="Ingetavstnd"/>
              <w:rPr>
                <w:rFonts w:hAnsiTheme="minorHAnsi" w:cstheme="minorHAnsi"/>
                <w:sz w:val="18"/>
                <w:szCs w:val="18"/>
              </w:rPr>
            </w:pPr>
            <w:r>
              <w:rPr>
                <w:rFonts w:hAnsiTheme="minorHAnsi" w:cstheme="minorHAnsi"/>
                <w:color w:val="000000"/>
                <w:sz w:val="18"/>
                <w:szCs w:val="18"/>
              </w:rPr>
              <w:t xml:space="preserve">2 years </w:t>
            </w:r>
          </w:p>
        </w:tc>
        <w:tc>
          <w:tcPr>
            <w:tcW w:w="424" w:type="pct"/>
            <w:vAlign w:val="center"/>
          </w:tcPr>
          <w:p w14:paraId="1EB5EE31" w14:textId="06730D81" w:rsidR="00D80A55" w:rsidRPr="00A01261" w:rsidRDefault="00D80A55" w:rsidP="00D80A55">
            <w:pPr>
              <w:pStyle w:val="Ingetavstnd"/>
              <w:rPr>
                <w:rFonts w:hAnsiTheme="minorHAnsi" w:cstheme="minorHAnsi"/>
                <w:sz w:val="18"/>
                <w:szCs w:val="18"/>
              </w:rPr>
            </w:pPr>
            <w:r>
              <w:rPr>
                <w:rFonts w:ascii="Calibri" w:hAnsi="Calibri"/>
                <w:color w:val="000000"/>
                <w:sz w:val="18"/>
                <w:szCs w:val="18"/>
              </w:rPr>
              <w:t xml:space="preserve">Unadjusted and adjusted linear regression </w:t>
            </w:r>
          </w:p>
        </w:tc>
        <w:tc>
          <w:tcPr>
            <w:tcW w:w="932" w:type="pct"/>
            <w:vAlign w:val="center"/>
          </w:tcPr>
          <w:p w14:paraId="447F81F3" w14:textId="06D9BF18" w:rsidR="00D80A55" w:rsidRPr="00A01261" w:rsidRDefault="00D80A55" w:rsidP="00D80A55">
            <w:pPr>
              <w:pStyle w:val="Ingetavstnd"/>
              <w:rPr>
                <w:rFonts w:hAnsiTheme="minorHAnsi" w:cstheme="minorHAnsi"/>
                <w:sz w:val="18"/>
                <w:szCs w:val="18"/>
              </w:rPr>
            </w:pPr>
            <w:r>
              <w:rPr>
                <w:rFonts w:ascii="Calibri" w:hAnsi="Calibri"/>
                <w:color w:val="000000"/>
                <w:sz w:val="18"/>
                <w:szCs w:val="18"/>
              </w:rPr>
              <w:t>With reference to leaving concomitant full-thickness cartilage lesions untreated at the time of ACL reconstruction, MF showed adverse effects on PROMs and debridement showed no effects on PROMs at the two-year follow-up after ACLR. As a result, MF and the debridement of concomitant full-thickness cartilage lesions in ACL-injured knees should be performed restrictively.</w:t>
            </w:r>
          </w:p>
        </w:tc>
      </w:tr>
      <w:tr w:rsidR="00D80A55" w:rsidRPr="00A01261" w14:paraId="1F1EBCE4" w14:textId="77777777" w:rsidTr="00D80A55">
        <w:tc>
          <w:tcPr>
            <w:tcW w:w="448" w:type="pct"/>
            <w:vAlign w:val="center"/>
          </w:tcPr>
          <w:p w14:paraId="15832AB1" w14:textId="32BEA523" w:rsidR="00D80A55" w:rsidRPr="00A01261" w:rsidRDefault="00D80A55" w:rsidP="00D80A55">
            <w:pPr>
              <w:pStyle w:val="Ingetavstnd"/>
              <w:rPr>
                <w:rFonts w:hAnsiTheme="minorHAnsi" w:cstheme="minorHAnsi"/>
                <w:sz w:val="18"/>
                <w:szCs w:val="18"/>
              </w:rPr>
            </w:pPr>
            <w:r>
              <w:rPr>
                <w:rFonts w:ascii="Calibri" w:hAnsi="Calibri"/>
                <w:color w:val="000000"/>
                <w:sz w:val="18"/>
                <w:szCs w:val="18"/>
              </w:rPr>
              <w:t>Samuelsson et al (2017)</w:t>
            </w:r>
          </w:p>
        </w:tc>
        <w:tc>
          <w:tcPr>
            <w:tcW w:w="290" w:type="pct"/>
            <w:vAlign w:val="center"/>
          </w:tcPr>
          <w:p w14:paraId="640977F4" w14:textId="5D62BBD4" w:rsidR="00D80A55" w:rsidRDefault="00D80A55" w:rsidP="00D80A55">
            <w:pPr>
              <w:pStyle w:val="Ingetavstnd"/>
              <w:jc w:val="center"/>
              <w:rPr>
                <w:rFonts w:hAnsiTheme="minorHAnsi" w:cstheme="minorHAnsi"/>
                <w:color w:val="000000"/>
                <w:sz w:val="18"/>
                <w:szCs w:val="18"/>
              </w:rPr>
            </w:pPr>
            <w:proofErr w:type="spellStart"/>
            <w:r>
              <w:rPr>
                <w:rFonts w:hAnsiTheme="minorHAnsi" w:cstheme="minorHAnsi"/>
                <w:color w:val="000000"/>
                <w:sz w:val="18"/>
                <w:szCs w:val="18"/>
              </w:rPr>
              <w:t>Swe</w:t>
            </w:r>
            <w:proofErr w:type="spellEnd"/>
          </w:p>
        </w:tc>
        <w:tc>
          <w:tcPr>
            <w:tcW w:w="260" w:type="pct"/>
            <w:vAlign w:val="center"/>
          </w:tcPr>
          <w:p w14:paraId="5E029F94" w14:textId="6EB3F076" w:rsidR="00D80A55" w:rsidRDefault="00D80A55" w:rsidP="00D80A55">
            <w:pPr>
              <w:pStyle w:val="Ingetavstnd"/>
              <w:jc w:val="center"/>
              <w:rPr>
                <w:rFonts w:ascii="Calibri" w:hAnsi="Calibri"/>
                <w:color w:val="000000"/>
                <w:sz w:val="18"/>
                <w:szCs w:val="18"/>
              </w:rPr>
            </w:pPr>
            <w:r>
              <w:rPr>
                <w:rFonts w:ascii="Calibri" w:hAnsi="Calibri"/>
                <w:color w:val="000000"/>
                <w:sz w:val="18"/>
                <w:szCs w:val="18"/>
              </w:rPr>
              <w:t>16</w:t>
            </w:r>
          </w:p>
        </w:tc>
        <w:tc>
          <w:tcPr>
            <w:tcW w:w="710" w:type="pct"/>
            <w:vAlign w:val="center"/>
          </w:tcPr>
          <w:p w14:paraId="5A4BB98F" w14:textId="475D368D" w:rsidR="00D80A55" w:rsidRPr="00A01261" w:rsidRDefault="00D80A55" w:rsidP="00D80A55">
            <w:pPr>
              <w:pStyle w:val="Ingetavstnd"/>
              <w:rPr>
                <w:rFonts w:hAnsiTheme="minorHAnsi" w:cstheme="minorHAnsi"/>
                <w:sz w:val="18"/>
                <w:szCs w:val="18"/>
              </w:rPr>
            </w:pPr>
            <w:r>
              <w:rPr>
                <w:rFonts w:ascii="Calibri" w:hAnsi="Calibri"/>
                <w:color w:val="000000"/>
                <w:sz w:val="18"/>
                <w:szCs w:val="18"/>
              </w:rPr>
              <w:t xml:space="preserve">Equivalent knee injury osteoarthritis outcome scores 12 and 24 </w:t>
            </w:r>
            <w:r>
              <w:rPr>
                <w:rFonts w:ascii="Calibri" w:hAnsi="Calibri"/>
                <w:color w:val="000000"/>
                <w:sz w:val="18"/>
                <w:szCs w:val="18"/>
              </w:rPr>
              <w:lastRenderedPageBreak/>
              <w:t>months after anterior cruciate ligament reconstruction</w:t>
            </w:r>
          </w:p>
        </w:tc>
        <w:tc>
          <w:tcPr>
            <w:tcW w:w="477" w:type="pct"/>
            <w:vAlign w:val="center"/>
          </w:tcPr>
          <w:p w14:paraId="261A8EB3" w14:textId="01332C77" w:rsidR="00D80A55" w:rsidRPr="00A01261" w:rsidRDefault="00D80A55" w:rsidP="00D80A55">
            <w:pPr>
              <w:pStyle w:val="Ingetavstnd"/>
              <w:rPr>
                <w:rFonts w:hAnsiTheme="minorHAnsi" w:cstheme="minorHAnsi"/>
                <w:sz w:val="18"/>
                <w:szCs w:val="18"/>
              </w:rPr>
            </w:pPr>
            <w:r>
              <w:rPr>
                <w:rFonts w:ascii="Calibri" w:hAnsi="Calibri"/>
                <w:color w:val="000000"/>
                <w:sz w:val="18"/>
                <w:szCs w:val="18"/>
              </w:rPr>
              <w:lastRenderedPageBreak/>
              <w:t xml:space="preserve">To investigate whether there is equivalence </w:t>
            </w:r>
            <w:r>
              <w:rPr>
                <w:rFonts w:ascii="Calibri" w:hAnsi="Calibri"/>
                <w:color w:val="000000"/>
                <w:sz w:val="18"/>
                <w:szCs w:val="18"/>
              </w:rPr>
              <w:lastRenderedPageBreak/>
              <w:t xml:space="preserve">between the KOOS at one and two years after primary ACLR. </w:t>
            </w:r>
          </w:p>
        </w:tc>
        <w:tc>
          <w:tcPr>
            <w:tcW w:w="574" w:type="pct"/>
            <w:vAlign w:val="center"/>
          </w:tcPr>
          <w:p w14:paraId="63E12425" w14:textId="233D9438" w:rsidR="00D80A55" w:rsidRPr="00A01261" w:rsidRDefault="00D80A55" w:rsidP="00D80A55">
            <w:pPr>
              <w:pStyle w:val="Ingetavstnd"/>
              <w:rPr>
                <w:rFonts w:hAnsiTheme="minorHAnsi" w:cstheme="minorHAnsi"/>
                <w:sz w:val="18"/>
                <w:szCs w:val="18"/>
              </w:rPr>
            </w:pPr>
            <w:r>
              <w:rPr>
                <w:rFonts w:ascii="Calibri" w:hAnsi="Calibri"/>
                <w:color w:val="000000"/>
                <w:sz w:val="18"/>
                <w:szCs w:val="18"/>
              </w:rPr>
              <w:lastRenderedPageBreak/>
              <w:t>KOOS</w:t>
            </w:r>
          </w:p>
        </w:tc>
        <w:tc>
          <w:tcPr>
            <w:tcW w:w="441" w:type="pct"/>
            <w:vAlign w:val="center"/>
          </w:tcPr>
          <w:p w14:paraId="0C6BEAA9" w14:textId="77777777" w:rsidR="00D80A55" w:rsidRDefault="00D80A55" w:rsidP="00D80A55">
            <w:pPr>
              <w:rPr>
                <w:rFonts w:ascii="Calibri" w:hAnsi="Calibri"/>
                <w:color w:val="000000"/>
                <w:sz w:val="18"/>
                <w:szCs w:val="18"/>
              </w:rPr>
            </w:pPr>
            <w:r>
              <w:rPr>
                <w:rFonts w:ascii="Calibri" w:hAnsi="Calibri"/>
                <w:color w:val="000000"/>
                <w:sz w:val="18"/>
                <w:szCs w:val="18"/>
              </w:rPr>
              <w:t xml:space="preserve">N = 23,953 </w:t>
            </w:r>
          </w:p>
          <w:p w14:paraId="4F348558" w14:textId="0C60B6C0" w:rsidR="00D80A55" w:rsidRPr="00A01261" w:rsidRDefault="00D80A55" w:rsidP="00D80A55">
            <w:pPr>
              <w:pStyle w:val="Ingetavstnd"/>
              <w:rPr>
                <w:rFonts w:hAnsiTheme="minorHAnsi" w:cstheme="minorHAnsi"/>
                <w:sz w:val="18"/>
                <w:szCs w:val="18"/>
              </w:rPr>
            </w:pPr>
            <w:r>
              <w:rPr>
                <w:rFonts w:ascii="Calibri" w:hAnsi="Calibri"/>
                <w:color w:val="000000"/>
                <w:sz w:val="18"/>
                <w:szCs w:val="18"/>
              </w:rPr>
              <w:t xml:space="preserve">(F = 42.2%) </w:t>
            </w:r>
          </w:p>
        </w:tc>
        <w:tc>
          <w:tcPr>
            <w:tcW w:w="444" w:type="pct"/>
            <w:vAlign w:val="center"/>
          </w:tcPr>
          <w:p w14:paraId="2CEC5C02" w14:textId="3C6ED9C2" w:rsidR="00D80A55" w:rsidRPr="00A01261" w:rsidRDefault="00D80A55" w:rsidP="00D80A55">
            <w:pPr>
              <w:pStyle w:val="Ingetavstnd"/>
              <w:rPr>
                <w:rFonts w:hAnsiTheme="minorHAnsi" w:cstheme="minorHAnsi"/>
                <w:sz w:val="18"/>
                <w:szCs w:val="18"/>
              </w:rPr>
            </w:pPr>
            <w:r>
              <w:rPr>
                <w:rFonts w:hAnsiTheme="minorHAnsi" w:cstheme="minorHAnsi"/>
                <w:color w:val="000000"/>
                <w:sz w:val="18"/>
                <w:szCs w:val="18"/>
              </w:rPr>
              <w:t>2 years</w:t>
            </w:r>
          </w:p>
        </w:tc>
        <w:tc>
          <w:tcPr>
            <w:tcW w:w="424" w:type="pct"/>
            <w:vAlign w:val="center"/>
          </w:tcPr>
          <w:p w14:paraId="029286CE" w14:textId="0A591D12" w:rsidR="00D80A55" w:rsidRPr="00A01261" w:rsidRDefault="00D80A55" w:rsidP="00D80A55">
            <w:pPr>
              <w:pStyle w:val="Ingetavstnd"/>
              <w:rPr>
                <w:rFonts w:hAnsiTheme="minorHAnsi" w:cstheme="minorHAnsi"/>
                <w:sz w:val="18"/>
                <w:szCs w:val="18"/>
              </w:rPr>
            </w:pPr>
            <w:r>
              <w:rPr>
                <w:rFonts w:ascii="Calibri" w:hAnsi="Calibri"/>
                <w:color w:val="000000"/>
                <w:sz w:val="18"/>
                <w:szCs w:val="18"/>
              </w:rPr>
              <w:t xml:space="preserve">Two one-sided tests of </w:t>
            </w:r>
            <w:r>
              <w:rPr>
                <w:rFonts w:ascii="Calibri" w:hAnsi="Calibri"/>
                <w:color w:val="000000"/>
                <w:sz w:val="18"/>
                <w:szCs w:val="18"/>
              </w:rPr>
              <w:lastRenderedPageBreak/>
              <w:t xml:space="preserve">equivalence for paired samples. The equivalence interval was set a priori at -4 to +4. </w:t>
            </w:r>
          </w:p>
        </w:tc>
        <w:tc>
          <w:tcPr>
            <w:tcW w:w="932" w:type="pct"/>
            <w:vAlign w:val="center"/>
          </w:tcPr>
          <w:p w14:paraId="4A4A4AA7" w14:textId="17BCED55" w:rsidR="00D80A55" w:rsidRPr="00A01261" w:rsidRDefault="00D80A55" w:rsidP="00D80A55">
            <w:pPr>
              <w:pStyle w:val="Ingetavstnd"/>
              <w:rPr>
                <w:rFonts w:hAnsiTheme="minorHAnsi" w:cstheme="minorHAnsi"/>
                <w:sz w:val="18"/>
                <w:szCs w:val="18"/>
              </w:rPr>
            </w:pPr>
            <w:r>
              <w:rPr>
                <w:rFonts w:ascii="Calibri" w:hAnsi="Calibri"/>
                <w:color w:val="000000"/>
                <w:sz w:val="18"/>
                <w:szCs w:val="18"/>
              </w:rPr>
              <w:lastRenderedPageBreak/>
              <w:t xml:space="preserve">Equivalent results within patients were found at the one- and two-year follow-up across </w:t>
            </w:r>
            <w:r>
              <w:rPr>
                <w:rFonts w:ascii="Calibri" w:hAnsi="Calibri"/>
                <w:color w:val="000000"/>
                <w:sz w:val="18"/>
                <w:szCs w:val="18"/>
              </w:rPr>
              <w:lastRenderedPageBreak/>
              <w:t xml:space="preserve">all KOOS subscales. This result was consistent for subgroups of gender, concomitant injuries and graft type. </w:t>
            </w:r>
          </w:p>
        </w:tc>
      </w:tr>
      <w:tr w:rsidR="00D80A55" w:rsidRPr="00A01261" w14:paraId="35226700" w14:textId="77777777" w:rsidTr="00D80A55">
        <w:tc>
          <w:tcPr>
            <w:tcW w:w="448" w:type="pct"/>
            <w:vAlign w:val="center"/>
          </w:tcPr>
          <w:p w14:paraId="0DAD47A6" w14:textId="6B3241C6" w:rsidR="00D80A55" w:rsidRPr="00A01261" w:rsidRDefault="00D80A55" w:rsidP="00D80A55">
            <w:pPr>
              <w:pStyle w:val="Ingetavstnd"/>
              <w:rPr>
                <w:rFonts w:hAnsiTheme="minorHAnsi" w:cstheme="minorHAnsi"/>
                <w:sz w:val="18"/>
                <w:szCs w:val="18"/>
              </w:rPr>
            </w:pPr>
            <w:r>
              <w:rPr>
                <w:rFonts w:hAnsiTheme="minorHAnsi" w:cstheme="minorHAnsi"/>
                <w:sz w:val="18"/>
                <w:szCs w:val="18"/>
              </w:rPr>
              <w:lastRenderedPageBreak/>
              <w:t>Snæbjörnsson et al (2017)</w:t>
            </w:r>
          </w:p>
        </w:tc>
        <w:tc>
          <w:tcPr>
            <w:tcW w:w="290" w:type="pct"/>
            <w:vAlign w:val="center"/>
          </w:tcPr>
          <w:p w14:paraId="4BA265E6" w14:textId="600428B5" w:rsidR="00D80A55" w:rsidRDefault="00D80A55" w:rsidP="00D80A55">
            <w:pPr>
              <w:pStyle w:val="Ingetavstnd"/>
              <w:jc w:val="center"/>
              <w:rPr>
                <w:rFonts w:hAnsiTheme="minorHAnsi" w:cstheme="minorHAnsi"/>
                <w:color w:val="000000"/>
                <w:sz w:val="18"/>
                <w:szCs w:val="18"/>
              </w:rPr>
            </w:pPr>
            <w:proofErr w:type="spellStart"/>
            <w:r>
              <w:rPr>
                <w:rFonts w:hAnsiTheme="minorHAnsi" w:cstheme="minorHAnsi"/>
                <w:color w:val="000000"/>
                <w:sz w:val="18"/>
                <w:szCs w:val="18"/>
              </w:rPr>
              <w:t>Swe</w:t>
            </w:r>
            <w:proofErr w:type="spellEnd"/>
          </w:p>
        </w:tc>
        <w:tc>
          <w:tcPr>
            <w:tcW w:w="260" w:type="pct"/>
            <w:vAlign w:val="center"/>
          </w:tcPr>
          <w:p w14:paraId="0DBD86ED" w14:textId="53D507AC" w:rsidR="00D80A55" w:rsidRDefault="00D80A55" w:rsidP="00D80A55">
            <w:pPr>
              <w:pStyle w:val="Ingetavstnd"/>
              <w:jc w:val="center"/>
              <w:rPr>
                <w:rFonts w:hAnsiTheme="minorHAnsi" w:cstheme="minorHAnsi"/>
                <w:color w:val="000000"/>
                <w:sz w:val="18"/>
                <w:szCs w:val="18"/>
              </w:rPr>
            </w:pPr>
            <w:r>
              <w:rPr>
                <w:rFonts w:hAnsiTheme="minorHAnsi" w:cstheme="minorHAnsi"/>
                <w:color w:val="000000"/>
                <w:sz w:val="18"/>
                <w:szCs w:val="18"/>
              </w:rPr>
              <w:t>16</w:t>
            </w:r>
          </w:p>
        </w:tc>
        <w:tc>
          <w:tcPr>
            <w:tcW w:w="710" w:type="pct"/>
            <w:vAlign w:val="center"/>
          </w:tcPr>
          <w:p w14:paraId="302C040B" w14:textId="588C6C56" w:rsidR="00D80A55" w:rsidRPr="00A01261" w:rsidRDefault="00D80A55" w:rsidP="00D80A55">
            <w:pPr>
              <w:pStyle w:val="Ingetavstnd"/>
              <w:rPr>
                <w:rFonts w:hAnsiTheme="minorHAnsi" w:cstheme="minorHAnsi"/>
                <w:sz w:val="18"/>
                <w:szCs w:val="18"/>
              </w:rPr>
            </w:pPr>
            <w:r>
              <w:rPr>
                <w:rFonts w:hAnsiTheme="minorHAnsi" w:cstheme="minorHAnsi"/>
                <w:color w:val="000000"/>
                <w:sz w:val="18"/>
                <w:szCs w:val="18"/>
              </w:rPr>
              <w:t>Graft diameter as a predictor of revision anterior cruciate ligament reconstruction and KOOS and EQ-5D values: A cohort study from the SNKLR based on 2240 patients</w:t>
            </w:r>
          </w:p>
        </w:tc>
        <w:tc>
          <w:tcPr>
            <w:tcW w:w="477" w:type="pct"/>
            <w:vAlign w:val="center"/>
          </w:tcPr>
          <w:p w14:paraId="23A3EB85" w14:textId="2C6DDC7A" w:rsidR="00D80A55" w:rsidRPr="00A01261" w:rsidRDefault="00D80A55" w:rsidP="00D80A55">
            <w:pPr>
              <w:pStyle w:val="Ingetavstnd"/>
              <w:rPr>
                <w:rFonts w:hAnsiTheme="minorHAnsi" w:cstheme="minorHAnsi"/>
                <w:sz w:val="18"/>
                <w:szCs w:val="18"/>
              </w:rPr>
            </w:pPr>
            <w:r>
              <w:rPr>
                <w:rFonts w:hAnsiTheme="minorHAnsi" w:cstheme="minorHAnsi"/>
                <w:color w:val="000000"/>
                <w:sz w:val="18"/>
                <w:szCs w:val="18"/>
              </w:rPr>
              <w:t>To evaluate the influence of the HT autograft diameter on patient-reported outcome</w:t>
            </w:r>
          </w:p>
        </w:tc>
        <w:tc>
          <w:tcPr>
            <w:tcW w:w="574" w:type="pct"/>
            <w:vAlign w:val="center"/>
          </w:tcPr>
          <w:p w14:paraId="628F18C4" w14:textId="0DAFFA28" w:rsidR="00D80A55" w:rsidRPr="00A01261" w:rsidRDefault="00D80A55" w:rsidP="00D80A55">
            <w:pPr>
              <w:pStyle w:val="Ingetavstnd"/>
              <w:rPr>
                <w:rFonts w:hAnsiTheme="minorHAnsi" w:cstheme="minorHAnsi"/>
                <w:sz w:val="18"/>
                <w:szCs w:val="18"/>
              </w:rPr>
            </w:pPr>
            <w:r>
              <w:rPr>
                <w:rFonts w:hAnsiTheme="minorHAnsi" w:cstheme="minorHAnsi"/>
                <w:color w:val="000000"/>
                <w:sz w:val="18"/>
                <w:szCs w:val="18"/>
              </w:rPr>
              <w:t>KOOS and EQ-5D</w:t>
            </w:r>
          </w:p>
        </w:tc>
        <w:tc>
          <w:tcPr>
            <w:tcW w:w="441" w:type="pct"/>
            <w:vAlign w:val="center"/>
          </w:tcPr>
          <w:p w14:paraId="331C8F19" w14:textId="77777777" w:rsidR="00D80A55" w:rsidRDefault="00D80A55" w:rsidP="00D80A55">
            <w:pPr>
              <w:rPr>
                <w:rFonts w:hAnsiTheme="minorHAnsi" w:cstheme="minorHAnsi"/>
                <w:color w:val="000000"/>
                <w:sz w:val="18"/>
                <w:szCs w:val="18"/>
              </w:rPr>
            </w:pPr>
            <w:r>
              <w:rPr>
                <w:rFonts w:hAnsiTheme="minorHAnsi" w:cstheme="minorHAnsi"/>
                <w:color w:val="000000"/>
                <w:sz w:val="18"/>
                <w:szCs w:val="18"/>
              </w:rPr>
              <w:t>N = 2240</w:t>
            </w:r>
          </w:p>
          <w:p w14:paraId="69AA7F42" w14:textId="77777777" w:rsidR="00D80A55" w:rsidRDefault="00D80A55" w:rsidP="00D80A55">
            <w:pPr>
              <w:rPr>
                <w:rFonts w:hAnsiTheme="minorHAnsi" w:cstheme="minorHAnsi"/>
                <w:color w:val="000000"/>
                <w:sz w:val="18"/>
                <w:szCs w:val="18"/>
              </w:rPr>
            </w:pPr>
            <w:r>
              <w:rPr>
                <w:rFonts w:hAnsiTheme="minorHAnsi" w:cstheme="minorHAnsi"/>
                <w:color w:val="000000"/>
                <w:sz w:val="18"/>
                <w:szCs w:val="18"/>
              </w:rPr>
              <w:t>Revision cases n = 560</w:t>
            </w:r>
          </w:p>
          <w:p w14:paraId="26B61409" w14:textId="4CE0E443" w:rsidR="00D80A55" w:rsidRPr="00A01261" w:rsidRDefault="00D80A55" w:rsidP="00D80A55">
            <w:pPr>
              <w:pStyle w:val="Ingetavstnd"/>
              <w:rPr>
                <w:rFonts w:hAnsiTheme="minorHAnsi" w:cstheme="minorHAnsi"/>
                <w:sz w:val="18"/>
                <w:szCs w:val="18"/>
              </w:rPr>
            </w:pPr>
            <w:r>
              <w:rPr>
                <w:rFonts w:hAnsiTheme="minorHAnsi" w:cstheme="minorHAnsi"/>
                <w:color w:val="000000"/>
                <w:sz w:val="18"/>
                <w:szCs w:val="18"/>
              </w:rPr>
              <w:t>Controls n = 1680</w:t>
            </w:r>
          </w:p>
        </w:tc>
        <w:tc>
          <w:tcPr>
            <w:tcW w:w="444" w:type="pct"/>
            <w:vAlign w:val="center"/>
          </w:tcPr>
          <w:p w14:paraId="322B6846" w14:textId="36C83827" w:rsidR="00D80A55" w:rsidRPr="00A01261" w:rsidRDefault="00D80A55" w:rsidP="00D80A55">
            <w:pPr>
              <w:pStyle w:val="Ingetavstnd"/>
              <w:rPr>
                <w:rFonts w:hAnsiTheme="minorHAnsi" w:cstheme="minorHAnsi"/>
                <w:sz w:val="18"/>
                <w:szCs w:val="18"/>
              </w:rPr>
            </w:pPr>
            <w:r>
              <w:rPr>
                <w:rFonts w:hAnsiTheme="minorHAnsi" w:cstheme="minorHAnsi"/>
                <w:color w:val="000000"/>
                <w:sz w:val="18"/>
                <w:szCs w:val="18"/>
              </w:rPr>
              <w:t>Mean 4.5 years</w:t>
            </w:r>
          </w:p>
        </w:tc>
        <w:tc>
          <w:tcPr>
            <w:tcW w:w="424" w:type="pct"/>
            <w:vAlign w:val="center"/>
          </w:tcPr>
          <w:p w14:paraId="464C1873" w14:textId="59F564F1" w:rsidR="00D80A55" w:rsidRPr="00A01261" w:rsidRDefault="00D80A55" w:rsidP="00D80A55">
            <w:pPr>
              <w:pStyle w:val="Ingetavstnd"/>
              <w:rPr>
                <w:rFonts w:hAnsiTheme="minorHAnsi" w:cstheme="minorHAnsi"/>
                <w:sz w:val="18"/>
                <w:szCs w:val="18"/>
              </w:rPr>
            </w:pPr>
            <w:r>
              <w:rPr>
                <w:rFonts w:hAnsiTheme="minorHAnsi" w:cstheme="minorHAnsi"/>
                <w:color w:val="000000"/>
                <w:sz w:val="18"/>
                <w:szCs w:val="18"/>
              </w:rPr>
              <w:t xml:space="preserve">Matched control analysis (ratio 3:1). Univariate linear regression  </w:t>
            </w:r>
          </w:p>
        </w:tc>
        <w:tc>
          <w:tcPr>
            <w:tcW w:w="932" w:type="pct"/>
            <w:vAlign w:val="center"/>
          </w:tcPr>
          <w:p w14:paraId="7052D781" w14:textId="362E5103" w:rsidR="00D80A55" w:rsidRPr="00A01261" w:rsidRDefault="00D80A55" w:rsidP="00D80A55">
            <w:pPr>
              <w:pStyle w:val="Ingetavstnd"/>
              <w:rPr>
                <w:rFonts w:hAnsiTheme="minorHAnsi" w:cstheme="minorHAnsi"/>
                <w:sz w:val="18"/>
                <w:szCs w:val="18"/>
              </w:rPr>
            </w:pPr>
            <w:r>
              <w:rPr>
                <w:rFonts w:hAnsiTheme="minorHAnsi" w:cstheme="minorHAnsi"/>
                <w:color w:val="000000"/>
                <w:sz w:val="18"/>
                <w:szCs w:val="18"/>
              </w:rPr>
              <w:t xml:space="preserve">No significant regression coefficient for the change in the KOOS or EQ-5D was found for increases in hamstring autograft diameter.  </w:t>
            </w:r>
          </w:p>
        </w:tc>
      </w:tr>
      <w:tr w:rsidR="00D80A55" w:rsidRPr="00A01261" w14:paraId="298221BF" w14:textId="77777777" w:rsidTr="00D80A55">
        <w:tc>
          <w:tcPr>
            <w:tcW w:w="448" w:type="pct"/>
            <w:vAlign w:val="center"/>
          </w:tcPr>
          <w:p w14:paraId="4BB9CC94" w14:textId="766C0B86" w:rsidR="00D80A55" w:rsidRPr="00A01261" w:rsidRDefault="00D80A55" w:rsidP="00D80A55">
            <w:pPr>
              <w:pStyle w:val="Ingetavstnd"/>
              <w:rPr>
                <w:rFonts w:hAnsiTheme="minorHAnsi" w:cstheme="minorHAnsi"/>
                <w:sz w:val="18"/>
                <w:szCs w:val="18"/>
              </w:rPr>
            </w:pPr>
            <w:proofErr w:type="spellStart"/>
            <w:r w:rsidRPr="00A01261">
              <w:rPr>
                <w:rFonts w:hAnsiTheme="minorHAnsi" w:cstheme="minorHAnsi"/>
                <w:sz w:val="18"/>
                <w:szCs w:val="18"/>
              </w:rPr>
              <w:t>Soreide</w:t>
            </w:r>
            <w:proofErr w:type="spellEnd"/>
            <w:r>
              <w:rPr>
                <w:rFonts w:hAnsiTheme="minorHAnsi" w:cstheme="minorHAnsi"/>
                <w:sz w:val="18"/>
                <w:szCs w:val="18"/>
              </w:rPr>
              <w:t xml:space="preserve"> et al</w:t>
            </w:r>
            <w:r w:rsidRPr="00A01261">
              <w:rPr>
                <w:rFonts w:hAnsiTheme="minorHAnsi" w:cstheme="minorHAnsi"/>
                <w:sz w:val="18"/>
                <w:szCs w:val="18"/>
              </w:rPr>
              <w:t xml:space="preserve"> (2016) </w:t>
            </w:r>
          </w:p>
        </w:tc>
        <w:tc>
          <w:tcPr>
            <w:tcW w:w="290" w:type="pct"/>
            <w:vAlign w:val="center"/>
          </w:tcPr>
          <w:p w14:paraId="31EA25DB" w14:textId="5BFA1CB9" w:rsidR="00D80A55" w:rsidRDefault="00D80A55" w:rsidP="00D80A55">
            <w:pPr>
              <w:pStyle w:val="Ingetavstnd"/>
              <w:jc w:val="center"/>
              <w:rPr>
                <w:rFonts w:hAnsiTheme="minorHAnsi" w:cstheme="minorHAnsi"/>
                <w:color w:val="000000"/>
                <w:sz w:val="18"/>
                <w:szCs w:val="18"/>
              </w:rPr>
            </w:pPr>
            <w:r>
              <w:rPr>
                <w:rFonts w:hAnsiTheme="minorHAnsi" w:cstheme="minorHAnsi"/>
                <w:color w:val="000000"/>
                <w:sz w:val="18"/>
                <w:szCs w:val="18"/>
              </w:rPr>
              <w:t>Nor</w:t>
            </w:r>
          </w:p>
        </w:tc>
        <w:tc>
          <w:tcPr>
            <w:tcW w:w="260" w:type="pct"/>
            <w:vAlign w:val="center"/>
          </w:tcPr>
          <w:p w14:paraId="56B1E5DD" w14:textId="05070410" w:rsidR="00D80A55" w:rsidRPr="00A01261" w:rsidRDefault="00D80A55" w:rsidP="00D80A55">
            <w:pPr>
              <w:pStyle w:val="Ingetavstnd"/>
              <w:jc w:val="center"/>
              <w:rPr>
                <w:rFonts w:hAnsiTheme="minorHAnsi" w:cstheme="minorHAnsi"/>
                <w:color w:val="000000"/>
                <w:sz w:val="18"/>
                <w:szCs w:val="18"/>
              </w:rPr>
            </w:pPr>
            <w:r>
              <w:rPr>
                <w:rFonts w:hAnsiTheme="minorHAnsi" w:cstheme="minorHAnsi"/>
                <w:color w:val="000000"/>
                <w:sz w:val="18"/>
                <w:szCs w:val="18"/>
              </w:rPr>
              <w:t>17</w:t>
            </w:r>
          </w:p>
        </w:tc>
        <w:tc>
          <w:tcPr>
            <w:tcW w:w="710" w:type="pct"/>
            <w:vAlign w:val="center"/>
          </w:tcPr>
          <w:p w14:paraId="7EBAFF19" w14:textId="3AEDFA8E" w:rsidR="00D80A55" w:rsidRPr="00A01261" w:rsidRDefault="00D80A55" w:rsidP="00D80A55">
            <w:pPr>
              <w:pStyle w:val="Ingetavstnd"/>
              <w:rPr>
                <w:rFonts w:hAnsiTheme="minorHAnsi" w:cstheme="minorHAnsi"/>
                <w:sz w:val="18"/>
                <w:szCs w:val="18"/>
              </w:rPr>
            </w:pPr>
            <w:r w:rsidRPr="00A01261">
              <w:rPr>
                <w:rFonts w:hAnsiTheme="minorHAnsi" w:cstheme="minorHAnsi"/>
                <w:color w:val="000000"/>
                <w:sz w:val="18"/>
                <w:szCs w:val="18"/>
              </w:rPr>
              <w:t>The effect of limited perioperative non</w:t>
            </w:r>
            <w:r>
              <w:rPr>
                <w:rFonts w:hAnsiTheme="minorHAnsi" w:cstheme="minorHAnsi"/>
                <w:color w:val="000000"/>
                <w:sz w:val="18"/>
                <w:szCs w:val="18"/>
              </w:rPr>
              <w:t>-</w:t>
            </w:r>
            <w:r w:rsidRPr="00A01261">
              <w:rPr>
                <w:rFonts w:hAnsiTheme="minorHAnsi" w:cstheme="minorHAnsi"/>
                <w:color w:val="000000"/>
                <w:sz w:val="18"/>
                <w:szCs w:val="18"/>
              </w:rPr>
              <w:t>steroidal anti-inflammatory drugs on patients undergoing ACL reconstruction</w:t>
            </w:r>
          </w:p>
        </w:tc>
        <w:tc>
          <w:tcPr>
            <w:tcW w:w="477" w:type="pct"/>
            <w:vAlign w:val="center"/>
          </w:tcPr>
          <w:p w14:paraId="66D9594A" w14:textId="10139831" w:rsidR="00D80A55" w:rsidRPr="00A01261" w:rsidRDefault="00D80A55" w:rsidP="00D80A55">
            <w:pPr>
              <w:pStyle w:val="Ingetavstnd"/>
              <w:rPr>
                <w:rFonts w:hAnsiTheme="minorHAnsi" w:cstheme="minorHAnsi"/>
                <w:sz w:val="18"/>
                <w:szCs w:val="18"/>
              </w:rPr>
            </w:pPr>
            <w:r w:rsidRPr="00A01261">
              <w:rPr>
                <w:rFonts w:hAnsiTheme="minorHAnsi" w:cstheme="minorHAnsi"/>
                <w:color w:val="000000"/>
                <w:sz w:val="18"/>
                <w:szCs w:val="18"/>
              </w:rPr>
              <w:t>To investigate the effect of NSAID administration on patients undergoing ACLR</w:t>
            </w:r>
          </w:p>
        </w:tc>
        <w:tc>
          <w:tcPr>
            <w:tcW w:w="574" w:type="pct"/>
            <w:vAlign w:val="center"/>
          </w:tcPr>
          <w:p w14:paraId="3B436BC9" w14:textId="5AC253C2" w:rsidR="00D80A55" w:rsidRPr="00A01261" w:rsidRDefault="00D80A55" w:rsidP="00D80A55">
            <w:pPr>
              <w:pStyle w:val="Ingetavstnd"/>
              <w:rPr>
                <w:rFonts w:hAnsiTheme="minorHAnsi" w:cstheme="minorHAnsi"/>
                <w:sz w:val="18"/>
                <w:szCs w:val="18"/>
              </w:rPr>
            </w:pPr>
            <w:r w:rsidRPr="00A01261">
              <w:rPr>
                <w:rFonts w:hAnsiTheme="minorHAnsi" w:cstheme="minorHAnsi"/>
                <w:color w:val="000000"/>
                <w:sz w:val="18"/>
                <w:szCs w:val="18"/>
              </w:rPr>
              <w:t>Revision and KOOS QoL &lt;</w:t>
            </w:r>
            <w:r>
              <w:rPr>
                <w:rFonts w:hAnsiTheme="minorHAnsi" w:cstheme="minorHAnsi"/>
                <w:color w:val="000000"/>
                <w:sz w:val="18"/>
                <w:szCs w:val="18"/>
              </w:rPr>
              <w:t xml:space="preserve"> </w:t>
            </w:r>
            <w:r w:rsidRPr="00A01261">
              <w:rPr>
                <w:rFonts w:hAnsiTheme="minorHAnsi" w:cstheme="minorHAnsi"/>
                <w:color w:val="000000"/>
                <w:sz w:val="18"/>
                <w:szCs w:val="18"/>
              </w:rPr>
              <w:t>44</w:t>
            </w:r>
          </w:p>
        </w:tc>
        <w:tc>
          <w:tcPr>
            <w:tcW w:w="441" w:type="pct"/>
            <w:vAlign w:val="center"/>
          </w:tcPr>
          <w:p w14:paraId="6C143003" w14:textId="77777777" w:rsidR="00D80A55" w:rsidRDefault="00D80A55" w:rsidP="00D80A55">
            <w:pPr>
              <w:rPr>
                <w:rFonts w:hAnsiTheme="minorHAnsi" w:cstheme="minorHAnsi"/>
                <w:color w:val="000000"/>
                <w:sz w:val="18"/>
                <w:szCs w:val="18"/>
              </w:rPr>
            </w:pPr>
            <w:r>
              <w:rPr>
                <w:rFonts w:hAnsiTheme="minorHAnsi" w:cstheme="minorHAnsi"/>
                <w:color w:val="000000"/>
                <w:sz w:val="18"/>
                <w:szCs w:val="18"/>
              </w:rPr>
              <w:t>N = 7,822</w:t>
            </w:r>
          </w:p>
          <w:p w14:paraId="248ADA2F" w14:textId="5D82CA90" w:rsidR="00D80A55" w:rsidRPr="00A01261" w:rsidRDefault="00D80A55" w:rsidP="00D80A55">
            <w:pPr>
              <w:pStyle w:val="Ingetavstnd"/>
              <w:rPr>
                <w:rFonts w:hAnsiTheme="minorHAnsi" w:cstheme="minorHAnsi"/>
                <w:sz w:val="18"/>
                <w:szCs w:val="18"/>
              </w:rPr>
            </w:pPr>
            <w:r>
              <w:rPr>
                <w:rFonts w:hAnsiTheme="minorHAnsi" w:cstheme="minorHAnsi"/>
                <w:color w:val="000000"/>
                <w:sz w:val="18"/>
                <w:szCs w:val="18"/>
              </w:rPr>
              <w:t xml:space="preserve">Patients who </w:t>
            </w:r>
            <w:r w:rsidRPr="00A01261">
              <w:rPr>
                <w:rFonts w:hAnsiTheme="minorHAnsi" w:cstheme="minorHAnsi"/>
                <w:color w:val="000000"/>
                <w:sz w:val="18"/>
                <w:szCs w:val="18"/>
              </w:rPr>
              <w:t xml:space="preserve">were administered postop </w:t>
            </w:r>
            <w:r>
              <w:rPr>
                <w:rFonts w:hAnsiTheme="minorHAnsi" w:cstheme="minorHAnsi"/>
                <w:color w:val="000000"/>
                <w:sz w:val="18"/>
                <w:szCs w:val="18"/>
              </w:rPr>
              <w:t xml:space="preserve">NSAID </w:t>
            </w:r>
            <w:r w:rsidRPr="00A01261">
              <w:rPr>
                <w:rFonts w:hAnsiTheme="minorHAnsi" w:cstheme="minorHAnsi"/>
                <w:color w:val="000000"/>
                <w:sz w:val="18"/>
                <w:szCs w:val="18"/>
              </w:rPr>
              <w:t>n</w:t>
            </w:r>
            <w:r>
              <w:rPr>
                <w:rFonts w:hAnsiTheme="minorHAnsi" w:cstheme="minorHAnsi"/>
                <w:color w:val="000000"/>
                <w:sz w:val="18"/>
                <w:szCs w:val="18"/>
              </w:rPr>
              <w:t xml:space="preserve"> </w:t>
            </w:r>
            <w:r w:rsidRPr="00A01261">
              <w:rPr>
                <w:rFonts w:hAnsiTheme="minorHAnsi" w:cstheme="minorHAnsi"/>
                <w:color w:val="000000"/>
                <w:sz w:val="18"/>
                <w:szCs w:val="18"/>
              </w:rPr>
              <w:t>=</w:t>
            </w:r>
            <w:r>
              <w:rPr>
                <w:rFonts w:hAnsiTheme="minorHAnsi" w:cstheme="minorHAnsi"/>
                <w:color w:val="000000"/>
                <w:sz w:val="18"/>
                <w:szCs w:val="18"/>
              </w:rPr>
              <w:t xml:space="preserve"> </w:t>
            </w:r>
            <w:r w:rsidRPr="00A01261">
              <w:rPr>
                <w:rFonts w:hAnsiTheme="minorHAnsi" w:cstheme="minorHAnsi"/>
                <w:color w:val="000000"/>
                <w:sz w:val="18"/>
                <w:szCs w:val="18"/>
              </w:rPr>
              <w:t>4</w:t>
            </w:r>
            <w:r>
              <w:rPr>
                <w:rFonts w:hAnsiTheme="minorHAnsi" w:cstheme="minorHAnsi"/>
                <w:color w:val="000000"/>
                <w:sz w:val="18"/>
                <w:szCs w:val="18"/>
              </w:rPr>
              <w:t>,</w:t>
            </w:r>
            <w:r w:rsidRPr="00A01261">
              <w:rPr>
                <w:rFonts w:hAnsiTheme="minorHAnsi" w:cstheme="minorHAnsi"/>
                <w:color w:val="000000"/>
                <w:sz w:val="18"/>
                <w:szCs w:val="18"/>
              </w:rPr>
              <w:t xml:space="preserve">144 </w:t>
            </w:r>
          </w:p>
        </w:tc>
        <w:tc>
          <w:tcPr>
            <w:tcW w:w="444" w:type="pct"/>
            <w:vAlign w:val="center"/>
          </w:tcPr>
          <w:p w14:paraId="7DE10095" w14:textId="78752D0E" w:rsidR="00D80A55" w:rsidRPr="00A01261" w:rsidRDefault="00D80A55" w:rsidP="00D80A55">
            <w:pPr>
              <w:pStyle w:val="Ingetavstnd"/>
              <w:rPr>
                <w:rFonts w:hAnsiTheme="minorHAnsi" w:cstheme="minorHAnsi"/>
                <w:sz w:val="18"/>
                <w:szCs w:val="18"/>
              </w:rPr>
            </w:pPr>
            <w:r>
              <w:rPr>
                <w:rFonts w:hAnsiTheme="minorHAnsi" w:cstheme="minorHAnsi"/>
                <w:color w:val="000000"/>
                <w:sz w:val="18"/>
                <w:szCs w:val="18"/>
              </w:rPr>
              <w:t>Mean</w:t>
            </w:r>
            <w:r w:rsidRPr="00A01261">
              <w:rPr>
                <w:rFonts w:hAnsiTheme="minorHAnsi" w:cstheme="minorHAnsi"/>
                <w:color w:val="000000"/>
                <w:sz w:val="18"/>
                <w:szCs w:val="18"/>
              </w:rPr>
              <w:t xml:space="preserve"> 2.8 y</w:t>
            </w:r>
            <w:r>
              <w:rPr>
                <w:rFonts w:hAnsiTheme="minorHAnsi" w:cstheme="minorHAnsi"/>
                <w:color w:val="000000"/>
                <w:sz w:val="18"/>
                <w:szCs w:val="18"/>
              </w:rPr>
              <w:t>ears</w:t>
            </w:r>
            <w:r w:rsidRPr="00A01261">
              <w:rPr>
                <w:rFonts w:hAnsiTheme="minorHAnsi" w:cstheme="minorHAnsi"/>
                <w:color w:val="000000"/>
                <w:sz w:val="18"/>
                <w:szCs w:val="18"/>
              </w:rPr>
              <w:t xml:space="preserve"> </w:t>
            </w:r>
          </w:p>
        </w:tc>
        <w:tc>
          <w:tcPr>
            <w:tcW w:w="424" w:type="pct"/>
            <w:vAlign w:val="center"/>
          </w:tcPr>
          <w:p w14:paraId="3BE04738" w14:textId="489AC1B6" w:rsidR="00D80A55" w:rsidRPr="00A01261" w:rsidRDefault="00D80A55" w:rsidP="00D80A55">
            <w:pPr>
              <w:pStyle w:val="Ingetavstnd"/>
              <w:rPr>
                <w:rFonts w:hAnsiTheme="minorHAnsi" w:cstheme="minorHAnsi"/>
                <w:sz w:val="18"/>
                <w:szCs w:val="18"/>
              </w:rPr>
            </w:pPr>
            <w:r w:rsidRPr="00A01261">
              <w:rPr>
                <w:rFonts w:hAnsiTheme="minorHAnsi" w:cstheme="minorHAnsi"/>
                <w:color w:val="000000"/>
                <w:sz w:val="18"/>
                <w:szCs w:val="18"/>
              </w:rPr>
              <w:t>Kaplan-Meier and log-rank test. Cox regression. Logistic regression</w:t>
            </w:r>
          </w:p>
        </w:tc>
        <w:tc>
          <w:tcPr>
            <w:tcW w:w="932" w:type="pct"/>
            <w:vAlign w:val="center"/>
          </w:tcPr>
          <w:p w14:paraId="2619092F" w14:textId="74C7E260" w:rsidR="00D80A55" w:rsidRPr="00A01261" w:rsidRDefault="00D80A55" w:rsidP="00D80A55">
            <w:pPr>
              <w:pStyle w:val="Ingetavstnd"/>
              <w:rPr>
                <w:rFonts w:hAnsiTheme="minorHAnsi" w:cstheme="minorHAnsi"/>
                <w:sz w:val="18"/>
                <w:szCs w:val="18"/>
              </w:rPr>
            </w:pPr>
            <w:r>
              <w:rPr>
                <w:rFonts w:hAnsiTheme="minorHAnsi" w:cstheme="minorHAnsi"/>
                <w:color w:val="000000"/>
                <w:sz w:val="18"/>
                <w:szCs w:val="18"/>
              </w:rPr>
              <w:t>A</w:t>
            </w:r>
            <w:r w:rsidRPr="00A01261">
              <w:rPr>
                <w:rFonts w:hAnsiTheme="minorHAnsi" w:cstheme="minorHAnsi"/>
                <w:color w:val="000000"/>
                <w:sz w:val="18"/>
                <w:szCs w:val="18"/>
              </w:rPr>
              <w:t xml:space="preserve">dministration of NSAIDs </w:t>
            </w:r>
            <w:r>
              <w:rPr>
                <w:rFonts w:hAnsiTheme="minorHAnsi" w:cstheme="minorHAnsi"/>
                <w:color w:val="000000"/>
                <w:sz w:val="18"/>
                <w:szCs w:val="18"/>
              </w:rPr>
              <w:t>to patients after ACLR does not have a negative effect on graft survival, risk of revision, or risk of a KOOS – QoL score &lt; 44 at two-year follow-up.</w:t>
            </w:r>
            <w:r w:rsidRPr="00A01261">
              <w:rPr>
                <w:rFonts w:hAnsiTheme="minorHAnsi" w:cstheme="minorHAnsi"/>
                <w:color w:val="000000"/>
                <w:sz w:val="18"/>
                <w:szCs w:val="18"/>
              </w:rPr>
              <w:t xml:space="preserve"> </w:t>
            </w:r>
          </w:p>
        </w:tc>
      </w:tr>
      <w:tr w:rsidR="00D80A55" w:rsidRPr="00A01261" w14:paraId="3D112C5E" w14:textId="77777777" w:rsidTr="00D80A55">
        <w:tc>
          <w:tcPr>
            <w:tcW w:w="448" w:type="pct"/>
            <w:vAlign w:val="center"/>
          </w:tcPr>
          <w:p w14:paraId="4FD7F804" w14:textId="3CA3348E" w:rsidR="00D80A55" w:rsidRPr="00A01261" w:rsidRDefault="00D80A55" w:rsidP="00D80A55">
            <w:pPr>
              <w:pStyle w:val="Ingetavstnd"/>
              <w:rPr>
                <w:rFonts w:hAnsiTheme="minorHAnsi" w:cstheme="minorHAnsi"/>
                <w:sz w:val="18"/>
                <w:szCs w:val="18"/>
              </w:rPr>
            </w:pPr>
            <w:proofErr w:type="spellStart"/>
            <w:r>
              <w:rPr>
                <w:rFonts w:hAnsiTheme="minorHAnsi" w:cstheme="minorHAnsi"/>
                <w:sz w:val="18"/>
                <w:szCs w:val="18"/>
              </w:rPr>
              <w:t>Ulstein</w:t>
            </w:r>
            <w:proofErr w:type="spellEnd"/>
            <w:r>
              <w:rPr>
                <w:rFonts w:hAnsiTheme="minorHAnsi" w:cstheme="minorHAnsi"/>
                <w:sz w:val="18"/>
                <w:szCs w:val="18"/>
              </w:rPr>
              <w:t xml:space="preserve"> et al (2017</w:t>
            </w:r>
            <w:r w:rsidRPr="00B0469F">
              <w:rPr>
                <w:rFonts w:hAnsiTheme="minorHAnsi" w:cstheme="minorHAnsi"/>
                <w:sz w:val="18"/>
                <w:szCs w:val="18"/>
              </w:rPr>
              <w:t>)</w:t>
            </w:r>
          </w:p>
        </w:tc>
        <w:tc>
          <w:tcPr>
            <w:tcW w:w="290" w:type="pct"/>
            <w:vAlign w:val="center"/>
          </w:tcPr>
          <w:p w14:paraId="2B52A0E0" w14:textId="3090DCAD" w:rsidR="00D80A55" w:rsidRDefault="00D80A55" w:rsidP="00D80A55">
            <w:pPr>
              <w:pStyle w:val="Ingetavstnd"/>
              <w:jc w:val="center"/>
              <w:rPr>
                <w:rFonts w:hAnsiTheme="minorHAnsi" w:cstheme="minorHAnsi"/>
                <w:color w:val="000000"/>
                <w:sz w:val="18"/>
                <w:szCs w:val="18"/>
              </w:rPr>
            </w:pPr>
            <w:r>
              <w:rPr>
                <w:rFonts w:hAnsiTheme="minorHAnsi" w:cstheme="minorHAnsi"/>
                <w:color w:val="000000"/>
                <w:sz w:val="18"/>
                <w:szCs w:val="18"/>
              </w:rPr>
              <w:t>Nor</w:t>
            </w:r>
          </w:p>
        </w:tc>
        <w:tc>
          <w:tcPr>
            <w:tcW w:w="260" w:type="pct"/>
            <w:vAlign w:val="center"/>
          </w:tcPr>
          <w:p w14:paraId="0FCE4840" w14:textId="47E01727" w:rsidR="00D80A55" w:rsidRPr="00B0469F" w:rsidRDefault="00D80A55" w:rsidP="00D80A55">
            <w:pPr>
              <w:pStyle w:val="Ingetavstnd"/>
              <w:jc w:val="center"/>
              <w:rPr>
                <w:rFonts w:ascii="Calibri" w:hAnsi="Calibri" w:cs="Calibri"/>
                <w:color w:val="000000"/>
                <w:sz w:val="18"/>
                <w:szCs w:val="18"/>
              </w:rPr>
            </w:pPr>
            <w:r>
              <w:rPr>
                <w:rFonts w:ascii="Calibri" w:hAnsi="Calibri" w:cs="Calibri"/>
                <w:color w:val="000000"/>
                <w:sz w:val="18"/>
                <w:szCs w:val="18"/>
              </w:rPr>
              <w:t>13</w:t>
            </w:r>
          </w:p>
        </w:tc>
        <w:tc>
          <w:tcPr>
            <w:tcW w:w="710" w:type="pct"/>
            <w:vAlign w:val="center"/>
          </w:tcPr>
          <w:p w14:paraId="1BF268AD" w14:textId="512FE0A0" w:rsidR="00D80A55" w:rsidRPr="00A01261" w:rsidRDefault="00D80A55" w:rsidP="00D80A55">
            <w:pPr>
              <w:pStyle w:val="Ingetavstnd"/>
              <w:rPr>
                <w:rFonts w:hAnsiTheme="minorHAnsi" w:cstheme="minorHAnsi"/>
                <w:sz w:val="18"/>
                <w:szCs w:val="18"/>
              </w:rPr>
            </w:pPr>
            <w:r w:rsidRPr="00B0469F">
              <w:rPr>
                <w:rFonts w:ascii="Calibri" w:hAnsi="Calibri" w:cs="Calibri"/>
                <w:color w:val="000000"/>
                <w:sz w:val="18"/>
                <w:szCs w:val="18"/>
              </w:rPr>
              <w:t>No negative effect on patient</w:t>
            </w:r>
            <w:r w:rsidRPr="00B0469F">
              <w:rPr>
                <w:rFonts w:ascii="Calibri" w:hAnsi="Calibri" w:cs="Calibri"/>
                <w:color w:val="000000"/>
                <w:sz w:val="18"/>
                <w:szCs w:val="18"/>
              </w:rPr>
              <w:noBreakHyphen/>
              <w:t xml:space="preserve">reported outcome of concomitant cartilage lesions </w:t>
            </w:r>
            <w:r>
              <w:rPr>
                <w:rFonts w:ascii="Calibri" w:hAnsi="Calibri" w:cs="Calibri"/>
                <w:color w:val="000000"/>
                <w:sz w:val="18"/>
                <w:szCs w:val="18"/>
              </w:rPr>
              <w:t xml:space="preserve">5-9 </w:t>
            </w:r>
            <w:r w:rsidRPr="00B0469F">
              <w:rPr>
                <w:rFonts w:ascii="Calibri" w:hAnsi="Calibri" w:cs="Calibri"/>
                <w:color w:val="000000"/>
                <w:sz w:val="18"/>
                <w:szCs w:val="18"/>
              </w:rPr>
              <w:t>years after ACL reconstruction</w:t>
            </w:r>
          </w:p>
        </w:tc>
        <w:tc>
          <w:tcPr>
            <w:tcW w:w="477" w:type="pct"/>
            <w:vAlign w:val="center"/>
          </w:tcPr>
          <w:p w14:paraId="493C0DD5" w14:textId="77777777" w:rsidR="00D80A55" w:rsidRPr="00B0469F" w:rsidRDefault="00D80A55" w:rsidP="00D80A55">
            <w:pPr>
              <w:rPr>
                <w:rFonts w:ascii="Calibri" w:hAnsi="Calibri" w:cs="Calibri"/>
                <w:color w:val="000000"/>
                <w:sz w:val="18"/>
                <w:szCs w:val="18"/>
              </w:rPr>
            </w:pPr>
            <w:r w:rsidRPr="00B0469F">
              <w:rPr>
                <w:rFonts w:ascii="Calibri" w:hAnsi="Calibri" w:cs="Calibri"/>
                <w:color w:val="000000"/>
                <w:sz w:val="18"/>
                <w:szCs w:val="18"/>
              </w:rPr>
              <w:t>To compare PROMs</w:t>
            </w:r>
            <w:r>
              <w:rPr>
                <w:rFonts w:ascii="Calibri" w:hAnsi="Calibri" w:cs="Calibri"/>
                <w:color w:val="000000"/>
                <w:sz w:val="18"/>
                <w:szCs w:val="18"/>
              </w:rPr>
              <w:t xml:space="preserve"> five to nine</w:t>
            </w:r>
            <w:r w:rsidRPr="00B0469F">
              <w:rPr>
                <w:rFonts w:ascii="Calibri" w:hAnsi="Calibri" w:cs="Calibri"/>
                <w:color w:val="000000"/>
                <w:sz w:val="18"/>
                <w:szCs w:val="18"/>
              </w:rPr>
              <w:t xml:space="preserve"> years after ACLR in patients with and without a concomitant full-thickness (International Cartilage Repair Society grade 3–4) cartilage lesion</w:t>
            </w:r>
          </w:p>
          <w:p w14:paraId="3DA66A46" w14:textId="77777777" w:rsidR="00D80A55" w:rsidRPr="00A01261" w:rsidRDefault="00D80A55" w:rsidP="00D80A55">
            <w:pPr>
              <w:pStyle w:val="Ingetavstnd"/>
              <w:rPr>
                <w:rFonts w:hAnsiTheme="minorHAnsi" w:cstheme="minorHAnsi"/>
                <w:sz w:val="18"/>
                <w:szCs w:val="18"/>
              </w:rPr>
            </w:pPr>
          </w:p>
        </w:tc>
        <w:tc>
          <w:tcPr>
            <w:tcW w:w="574" w:type="pct"/>
            <w:vAlign w:val="center"/>
          </w:tcPr>
          <w:p w14:paraId="3447C676" w14:textId="1FEB7A40" w:rsidR="00D80A55" w:rsidRPr="00A01261" w:rsidRDefault="00D80A55" w:rsidP="00D80A55">
            <w:pPr>
              <w:pStyle w:val="Ingetavstnd"/>
              <w:rPr>
                <w:rFonts w:hAnsiTheme="minorHAnsi" w:cstheme="minorHAnsi"/>
                <w:sz w:val="18"/>
                <w:szCs w:val="18"/>
              </w:rPr>
            </w:pPr>
            <w:r w:rsidRPr="00B0469F">
              <w:rPr>
                <w:rFonts w:hAnsiTheme="minorHAnsi" w:cstheme="minorHAnsi"/>
                <w:color w:val="000000"/>
                <w:sz w:val="18"/>
                <w:szCs w:val="18"/>
              </w:rPr>
              <w:t>KOOS and additional radiograph</w:t>
            </w:r>
          </w:p>
        </w:tc>
        <w:tc>
          <w:tcPr>
            <w:tcW w:w="441" w:type="pct"/>
            <w:vAlign w:val="center"/>
          </w:tcPr>
          <w:p w14:paraId="27BDA2DF" w14:textId="77777777" w:rsidR="00D80A55" w:rsidRDefault="00D80A55" w:rsidP="00D80A55">
            <w:pPr>
              <w:rPr>
                <w:rFonts w:hAnsiTheme="minorHAnsi" w:cstheme="minorHAnsi"/>
                <w:color w:val="000000"/>
                <w:sz w:val="18"/>
                <w:szCs w:val="18"/>
              </w:rPr>
            </w:pPr>
            <w:r>
              <w:rPr>
                <w:rFonts w:hAnsiTheme="minorHAnsi" w:cstheme="minorHAnsi"/>
                <w:color w:val="000000"/>
                <w:sz w:val="18"/>
                <w:szCs w:val="18"/>
              </w:rPr>
              <w:t>N = 89</w:t>
            </w:r>
            <w:r w:rsidRPr="00B0469F">
              <w:rPr>
                <w:rFonts w:hAnsiTheme="minorHAnsi" w:cstheme="minorHAnsi"/>
                <w:color w:val="000000"/>
                <w:sz w:val="18"/>
                <w:szCs w:val="18"/>
              </w:rPr>
              <w:t xml:space="preserve"> </w:t>
            </w:r>
          </w:p>
          <w:p w14:paraId="311E12A3" w14:textId="77777777" w:rsidR="00D80A55" w:rsidRDefault="00D80A55" w:rsidP="00D80A55">
            <w:pPr>
              <w:rPr>
                <w:rFonts w:hAnsiTheme="minorHAnsi" w:cstheme="minorHAnsi"/>
                <w:color w:val="000000"/>
                <w:sz w:val="18"/>
                <w:szCs w:val="18"/>
              </w:rPr>
            </w:pPr>
            <w:r w:rsidRPr="00B0469F">
              <w:rPr>
                <w:rFonts w:hAnsiTheme="minorHAnsi" w:cstheme="minorHAnsi"/>
                <w:color w:val="000000"/>
                <w:sz w:val="18"/>
                <w:szCs w:val="18"/>
              </w:rPr>
              <w:t xml:space="preserve">Patients </w:t>
            </w:r>
            <w:r>
              <w:rPr>
                <w:rFonts w:hAnsiTheme="minorHAnsi" w:cstheme="minorHAnsi"/>
                <w:color w:val="000000"/>
                <w:sz w:val="18"/>
                <w:szCs w:val="18"/>
              </w:rPr>
              <w:t>with a</w:t>
            </w:r>
            <w:r w:rsidRPr="00B0469F">
              <w:rPr>
                <w:rFonts w:hAnsiTheme="minorHAnsi" w:cstheme="minorHAnsi"/>
                <w:color w:val="000000"/>
                <w:sz w:val="18"/>
                <w:szCs w:val="18"/>
              </w:rPr>
              <w:t xml:space="preserve"> full-thickness cartilage lesi</w:t>
            </w:r>
            <w:r>
              <w:rPr>
                <w:rFonts w:hAnsiTheme="minorHAnsi" w:cstheme="minorHAnsi"/>
                <w:color w:val="000000"/>
                <w:sz w:val="18"/>
                <w:szCs w:val="18"/>
              </w:rPr>
              <w:t xml:space="preserve">on n = 30 </w:t>
            </w:r>
          </w:p>
          <w:p w14:paraId="40957E33" w14:textId="69BDD7F2" w:rsidR="00D80A55" w:rsidRPr="00A01261" w:rsidRDefault="00D80A55" w:rsidP="00D80A55">
            <w:pPr>
              <w:pStyle w:val="Ingetavstnd"/>
              <w:rPr>
                <w:rFonts w:hAnsiTheme="minorHAnsi" w:cstheme="minorHAnsi"/>
                <w:sz w:val="18"/>
                <w:szCs w:val="18"/>
              </w:rPr>
            </w:pPr>
            <w:r>
              <w:rPr>
                <w:rFonts w:hAnsiTheme="minorHAnsi" w:cstheme="minorHAnsi"/>
                <w:color w:val="000000"/>
                <w:sz w:val="18"/>
                <w:szCs w:val="18"/>
              </w:rPr>
              <w:t>Matched controls n = 59</w:t>
            </w:r>
          </w:p>
        </w:tc>
        <w:tc>
          <w:tcPr>
            <w:tcW w:w="444" w:type="pct"/>
            <w:vAlign w:val="center"/>
          </w:tcPr>
          <w:p w14:paraId="4217427E" w14:textId="7C6AA0B6" w:rsidR="00D80A55" w:rsidRPr="00A01261" w:rsidRDefault="00D80A55" w:rsidP="00D80A55">
            <w:pPr>
              <w:pStyle w:val="Ingetavstnd"/>
              <w:rPr>
                <w:rFonts w:hAnsiTheme="minorHAnsi" w:cstheme="minorHAnsi"/>
                <w:sz w:val="18"/>
                <w:szCs w:val="18"/>
              </w:rPr>
            </w:pPr>
            <w:r w:rsidRPr="00B0469F">
              <w:rPr>
                <w:rFonts w:hAnsiTheme="minorHAnsi" w:cstheme="minorHAnsi"/>
                <w:color w:val="000000"/>
                <w:sz w:val="18"/>
                <w:szCs w:val="18"/>
              </w:rPr>
              <w:t>M</w:t>
            </w:r>
            <w:r>
              <w:rPr>
                <w:rFonts w:hAnsiTheme="minorHAnsi" w:cstheme="minorHAnsi"/>
                <w:color w:val="000000"/>
                <w:sz w:val="18"/>
                <w:szCs w:val="18"/>
              </w:rPr>
              <w:t>ean 6.3 years (range 4.9-9.1)</w:t>
            </w:r>
          </w:p>
        </w:tc>
        <w:tc>
          <w:tcPr>
            <w:tcW w:w="424" w:type="pct"/>
            <w:vAlign w:val="center"/>
          </w:tcPr>
          <w:p w14:paraId="115EBF0E" w14:textId="5FF514CE" w:rsidR="00D80A55" w:rsidRPr="00A01261" w:rsidRDefault="00D80A55" w:rsidP="00D80A55">
            <w:pPr>
              <w:pStyle w:val="Ingetavstnd"/>
              <w:rPr>
                <w:rFonts w:hAnsiTheme="minorHAnsi" w:cstheme="minorHAnsi"/>
                <w:sz w:val="18"/>
                <w:szCs w:val="18"/>
              </w:rPr>
            </w:pPr>
            <w:r w:rsidRPr="00B0469F">
              <w:rPr>
                <w:rFonts w:hAnsiTheme="minorHAnsi" w:cstheme="minorHAnsi"/>
                <w:color w:val="000000"/>
                <w:sz w:val="18"/>
                <w:szCs w:val="18"/>
              </w:rPr>
              <w:t>T-test and Fisher's exact test</w:t>
            </w:r>
          </w:p>
        </w:tc>
        <w:tc>
          <w:tcPr>
            <w:tcW w:w="932" w:type="pct"/>
            <w:vAlign w:val="center"/>
          </w:tcPr>
          <w:p w14:paraId="7AD44969" w14:textId="582C1387" w:rsidR="00D80A55" w:rsidRPr="00A01261" w:rsidRDefault="00D80A55" w:rsidP="00D80A55">
            <w:pPr>
              <w:pStyle w:val="Ingetavstnd"/>
              <w:rPr>
                <w:rFonts w:hAnsiTheme="minorHAnsi" w:cstheme="minorHAnsi"/>
                <w:sz w:val="18"/>
                <w:szCs w:val="18"/>
              </w:rPr>
            </w:pPr>
            <w:r w:rsidRPr="00B0469F">
              <w:rPr>
                <w:rFonts w:hAnsiTheme="minorHAnsi" w:cstheme="minorHAnsi"/>
                <w:color w:val="000000"/>
                <w:sz w:val="18"/>
                <w:szCs w:val="18"/>
              </w:rPr>
              <w:t>ACL reconstruction perfor</w:t>
            </w:r>
            <w:r>
              <w:rPr>
                <w:rFonts w:hAnsiTheme="minorHAnsi" w:cstheme="minorHAnsi"/>
                <w:color w:val="000000"/>
                <w:sz w:val="18"/>
                <w:szCs w:val="18"/>
              </w:rPr>
              <w:t>med in patients with an isolated</w:t>
            </w:r>
            <w:r w:rsidRPr="00B0469F">
              <w:rPr>
                <w:rFonts w:hAnsiTheme="minorHAnsi" w:cstheme="minorHAnsi"/>
                <w:color w:val="000000"/>
                <w:sz w:val="18"/>
                <w:szCs w:val="18"/>
              </w:rPr>
              <w:t xml:space="preserve"> concomitant full-thickness cartilage lesion restored patient-reported knee function to the same level as ACL reconstruction performed in patients without concomitant cartilage lesions, </w:t>
            </w:r>
            <w:r>
              <w:rPr>
                <w:rFonts w:hAnsiTheme="minorHAnsi" w:cstheme="minorHAnsi"/>
                <w:color w:val="000000"/>
                <w:sz w:val="18"/>
                <w:szCs w:val="18"/>
              </w:rPr>
              <w:t>five to nine</w:t>
            </w:r>
            <w:r w:rsidRPr="00B0469F">
              <w:rPr>
                <w:rFonts w:hAnsiTheme="minorHAnsi" w:cstheme="minorHAnsi"/>
                <w:color w:val="000000"/>
                <w:sz w:val="18"/>
                <w:szCs w:val="18"/>
              </w:rPr>
              <w:t xml:space="preserve"> years after surgery.</w:t>
            </w:r>
          </w:p>
        </w:tc>
      </w:tr>
      <w:tr w:rsidR="00D80A55" w:rsidRPr="00A01261" w14:paraId="753C4FED" w14:textId="77777777" w:rsidTr="00C73EB0">
        <w:tc>
          <w:tcPr>
            <w:tcW w:w="5000" w:type="pct"/>
            <w:gridSpan w:val="10"/>
          </w:tcPr>
          <w:p w14:paraId="2D8C2A37" w14:textId="05F7DEFD" w:rsidR="00D80A55" w:rsidRPr="002B37BE" w:rsidRDefault="00D80A55" w:rsidP="00D80A55">
            <w:pPr>
              <w:pStyle w:val="Ingetavstnd"/>
              <w:rPr>
                <w:rFonts w:hAnsiTheme="minorHAnsi" w:cstheme="minorHAnsi"/>
                <w:sz w:val="18"/>
                <w:szCs w:val="18"/>
              </w:rPr>
            </w:pPr>
            <w:r>
              <w:rPr>
                <w:rFonts w:hAnsiTheme="minorHAnsi" w:cstheme="minorHAnsi"/>
                <w:sz w:val="18"/>
                <w:szCs w:val="18"/>
              </w:rPr>
              <w:t xml:space="preserve">ACLR = Anterior cruciate ligament reconstruction; ADL = activities of daily living; AM = anteromedial; CACLR = contralateral anterior cruciate ligament reconstruction; DB = double-bundle; Den = Denmark; </w:t>
            </w:r>
            <w:r>
              <w:rPr>
                <w:rFonts w:hAnsiTheme="minorHAnsi" w:cstheme="minorHAnsi"/>
                <w:color w:val="000000"/>
                <w:sz w:val="18"/>
                <w:szCs w:val="18"/>
              </w:rPr>
              <w:t>DK</w:t>
            </w:r>
            <w:r w:rsidRPr="00A01261">
              <w:rPr>
                <w:rFonts w:hAnsiTheme="minorHAnsi" w:cstheme="minorHAnsi"/>
                <w:color w:val="000000"/>
                <w:sz w:val="18"/>
                <w:szCs w:val="18"/>
              </w:rPr>
              <w:t>RR</w:t>
            </w:r>
            <w:r>
              <w:rPr>
                <w:rFonts w:hAnsiTheme="minorHAnsi" w:cstheme="minorHAnsi"/>
                <w:color w:val="000000"/>
                <w:sz w:val="18"/>
                <w:szCs w:val="18"/>
              </w:rPr>
              <w:t xml:space="preserve"> = Danish knee ligament reconstruction register;</w:t>
            </w:r>
            <w:r>
              <w:rPr>
                <w:rFonts w:hAnsiTheme="minorHAnsi" w:cstheme="minorHAnsi"/>
                <w:sz w:val="18"/>
                <w:szCs w:val="18"/>
              </w:rPr>
              <w:t xml:space="preserve"> EQ-5D = European Quality of Life five dimensions; F = female; HT = hamstring tendon; ICRS = </w:t>
            </w:r>
            <w:r w:rsidRPr="00B0469F">
              <w:rPr>
                <w:rFonts w:ascii="Calibri" w:hAnsi="Calibri" w:cs="Calibri"/>
                <w:color w:val="000000"/>
                <w:sz w:val="18"/>
                <w:szCs w:val="18"/>
              </w:rPr>
              <w:t>International Cartilage Repair Society</w:t>
            </w:r>
            <w:r>
              <w:rPr>
                <w:rFonts w:ascii="Calibri" w:hAnsi="Calibri" w:cs="Calibri"/>
                <w:color w:val="000000"/>
                <w:sz w:val="18"/>
                <w:szCs w:val="18"/>
              </w:rPr>
              <w:t>;</w:t>
            </w:r>
            <w:r>
              <w:rPr>
                <w:rFonts w:hAnsiTheme="minorHAnsi" w:cstheme="minorHAnsi"/>
                <w:sz w:val="18"/>
                <w:szCs w:val="18"/>
              </w:rPr>
              <w:t xml:space="preserve"> KOOS = Knee injury and Osteoarthritis Outcome Score; LM = lateral meniscus; M = male; </w:t>
            </w:r>
            <w:proofErr w:type="spellStart"/>
            <w:r>
              <w:rPr>
                <w:rFonts w:hAnsiTheme="minorHAnsi" w:cstheme="minorHAnsi"/>
                <w:sz w:val="18"/>
                <w:szCs w:val="18"/>
              </w:rPr>
              <w:t>n.a</w:t>
            </w:r>
            <w:proofErr w:type="spellEnd"/>
            <w:r>
              <w:rPr>
                <w:rFonts w:hAnsiTheme="minorHAnsi" w:cstheme="minorHAnsi"/>
                <w:sz w:val="18"/>
                <w:szCs w:val="18"/>
              </w:rPr>
              <w:t xml:space="preserve"> = not applicable; MF = microfracture; MM = medial meniscus; NAR = Norwegian Research Center for Active Rehabilitation cohort; </w:t>
            </w:r>
            <w:r w:rsidRPr="00502BD7">
              <w:rPr>
                <w:rFonts w:hAnsiTheme="minorHAnsi" w:cstheme="minorHAnsi"/>
                <w:color w:val="000000"/>
                <w:sz w:val="18"/>
                <w:szCs w:val="18"/>
              </w:rPr>
              <w:t>NKLR</w:t>
            </w:r>
            <w:r>
              <w:rPr>
                <w:rFonts w:hAnsiTheme="minorHAnsi" w:cstheme="minorHAnsi"/>
                <w:color w:val="000000"/>
                <w:sz w:val="18"/>
                <w:szCs w:val="18"/>
              </w:rPr>
              <w:t xml:space="preserve"> = Norwegian knee ligament register;</w:t>
            </w:r>
            <w:r>
              <w:rPr>
                <w:rFonts w:hAnsiTheme="minorHAnsi" w:cstheme="minorHAnsi"/>
                <w:sz w:val="18"/>
                <w:szCs w:val="18"/>
              </w:rPr>
              <w:t xml:space="preserve"> Nor = Norway; OC = oral contraceptives; PCL = posterior cruciate ligament; PPV = positive </w:t>
            </w:r>
            <w:r>
              <w:rPr>
                <w:rFonts w:hAnsiTheme="minorHAnsi" w:cstheme="minorHAnsi"/>
                <w:sz w:val="18"/>
                <w:szCs w:val="18"/>
              </w:rPr>
              <w:lastRenderedPageBreak/>
              <w:t xml:space="preserve">predictive value; PT = patellar tendon; PROMS = patient-reported outcome measurement; QoL = Quality of life subscale in KOOS; SB = single-bundle; SNKLR = Swedish national knee ligament register; </w:t>
            </w:r>
            <w:proofErr w:type="spellStart"/>
            <w:r>
              <w:rPr>
                <w:rFonts w:hAnsiTheme="minorHAnsi" w:cstheme="minorHAnsi"/>
                <w:sz w:val="18"/>
                <w:szCs w:val="18"/>
              </w:rPr>
              <w:t>Swe</w:t>
            </w:r>
            <w:proofErr w:type="spellEnd"/>
            <w:r>
              <w:rPr>
                <w:rFonts w:hAnsiTheme="minorHAnsi" w:cstheme="minorHAnsi"/>
                <w:sz w:val="18"/>
                <w:szCs w:val="18"/>
              </w:rPr>
              <w:t xml:space="preserve"> = Sweden; TT = </w:t>
            </w:r>
            <w:proofErr w:type="spellStart"/>
            <w:r>
              <w:rPr>
                <w:rFonts w:hAnsiTheme="minorHAnsi" w:cstheme="minorHAnsi"/>
                <w:sz w:val="18"/>
                <w:szCs w:val="18"/>
              </w:rPr>
              <w:t>transtibial</w:t>
            </w:r>
            <w:proofErr w:type="spellEnd"/>
            <w:r>
              <w:rPr>
                <w:rFonts w:hAnsiTheme="minorHAnsi" w:cstheme="minorHAnsi"/>
                <w:sz w:val="18"/>
                <w:szCs w:val="18"/>
              </w:rPr>
              <w:t xml:space="preserve"> </w:t>
            </w:r>
          </w:p>
        </w:tc>
      </w:tr>
    </w:tbl>
    <w:p w14:paraId="7A4002D0" w14:textId="77777777" w:rsidR="004B3E07" w:rsidRDefault="004B3E07"/>
    <w:sectPr w:rsidR="004B3E07" w:rsidSect="00580FEF">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FEF"/>
    <w:rsid w:val="00002210"/>
    <w:rsid w:val="00055BB6"/>
    <w:rsid w:val="000670D8"/>
    <w:rsid w:val="000C310B"/>
    <w:rsid w:val="00112742"/>
    <w:rsid w:val="001165D6"/>
    <w:rsid w:val="001169B3"/>
    <w:rsid w:val="0013242C"/>
    <w:rsid w:val="0019482F"/>
    <w:rsid w:val="001C01C8"/>
    <w:rsid w:val="001C45C9"/>
    <w:rsid w:val="001C75E4"/>
    <w:rsid w:val="00250657"/>
    <w:rsid w:val="00253B53"/>
    <w:rsid w:val="002623FB"/>
    <w:rsid w:val="00291958"/>
    <w:rsid w:val="002A50A1"/>
    <w:rsid w:val="002B1159"/>
    <w:rsid w:val="002B37BE"/>
    <w:rsid w:val="002E04EF"/>
    <w:rsid w:val="002E64FB"/>
    <w:rsid w:val="0036399C"/>
    <w:rsid w:val="0038448F"/>
    <w:rsid w:val="0042490C"/>
    <w:rsid w:val="00451FCF"/>
    <w:rsid w:val="00454BF3"/>
    <w:rsid w:val="004B02A7"/>
    <w:rsid w:val="004B3E07"/>
    <w:rsid w:val="004E00AD"/>
    <w:rsid w:val="004F6669"/>
    <w:rsid w:val="00502BD7"/>
    <w:rsid w:val="00566523"/>
    <w:rsid w:val="00580FEF"/>
    <w:rsid w:val="0059108C"/>
    <w:rsid w:val="0066311B"/>
    <w:rsid w:val="006F536F"/>
    <w:rsid w:val="00707ABF"/>
    <w:rsid w:val="007C2DB9"/>
    <w:rsid w:val="008026CA"/>
    <w:rsid w:val="00833E7F"/>
    <w:rsid w:val="00864029"/>
    <w:rsid w:val="008640C3"/>
    <w:rsid w:val="00865CE0"/>
    <w:rsid w:val="00890FC9"/>
    <w:rsid w:val="0091045A"/>
    <w:rsid w:val="00912962"/>
    <w:rsid w:val="009130D0"/>
    <w:rsid w:val="00924D9C"/>
    <w:rsid w:val="00947605"/>
    <w:rsid w:val="00964A8E"/>
    <w:rsid w:val="009F2847"/>
    <w:rsid w:val="00A01261"/>
    <w:rsid w:val="00A35F6F"/>
    <w:rsid w:val="00A54FAF"/>
    <w:rsid w:val="00A84A32"/>
    <w:rsid w:val="00AB7390"/>
    <w:rsid w:val="00B53CC2"/>
    <w:rsid w:val="00B96DB6"/>
    <w:rsid w:val="00BB5B43"/>
    <w:rsid w:val="00BC5630"/>
    <w:rsid w:val="00BE4EDA"/>
    <w:rsid w:val="00BF08D0"/>
    <w:rsid w:val="00BF0D5B"/>
    <w:rsid w:val="00C35FBC"/>
    <w:rsid w:val="00C372AD"/>
    <w:rsid w:val="00C65D53"/>
    <w:rsid w:val="00C73EB0"/>
    <w:rsid w:val="00C808D0"/>
    <w:rsid w:val="00C93249"/>
    <w:rsid w:val="00D3297A"/>
    <w:rsid w:val="00D6796B"/>
    <w:rsid w:val="00D80A55"/>
    <w:rsid w:val="00D927B2"/>
    <w:rsid w:val="00DA77BC"/>
    <w:rsid w:val="00DB2FFA"/>
    <w:rsid w:val="00DD08C0"/>
    <w:rsid w:val="00DE3FDC"/>
    <w:rsid w:val="00DE500A"/>
    <w:rsid w:val="00E73B3C"/>
    <w:rsid w:val="00EC5F64"/>
    <w:rsid w:val="00EE6579"/>
    <w:rsid w:val="00F47F68"/>
    <w:rsid w:val="00F52940"/>
    <w:rsid w:val="00FC480F"/>
  </w:rsids>
  <m:mathPr>
    <m:mathFont m:val="Cambria Math"/>
    <m:brkBin m:val="before"/>
    <m:brkBinSub m:val="--"/>
    <m:smallFrac m:val="0"/>
    <m:dispDef/>
    <m:lMargin m:val="0"/>
    <m:rMargin m:val="0"/>
    <m:defJc m:val="centerGroup"/>
    <m:wrapIndent m:val="1440"/>
    <m:intLim m:val="subSup"/>
    <m:naryLim m:val="undOvr"/>
  </m:mathPr>
  <w:themeFontLang w:val="sv-SE" w:eastAsia="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C59693"/>
  <w15:docId w15:val="{4719D31D-1D88-4AD8-BA50-BC4643D32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rsid w:val="00580F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A01261"/>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A01261"/>
    <w:rPr>
      <w:rFonts w:ascii="Segoe UI" w:hAnsi="Segoe UI" w:cs="Segoe UI"/>
      <w:sz w:val="18"/>
      <w:szCs w:val="18"/>
    </w:rPr>
  </w:style>
  <w:style w:type="paragraph" w:styleId="Ingetavstnd">
    <w:name w:val="No Spacing"/>
    <w:uiPriority w:val="1"/>
    <w:qFormat/>
    <w:rsid w:val="00A01261"/>
    <w:pPr>
      <w:spacing w:after="0" w:line="240" w:lineRule="auto"/>
    </w:pPr>
  </w:style>
  <w:style w:type="paragraph" w:styleId="Revision">
    <w:name w:val="Revision"/>
    <w:hidden/>
    <w:uiPriority w:val="99"/>
    <w:semiHidden/>
    <w:rsid w:val="00C35F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3809</Words>
  <Characters>20190</Characters>
  <Application>Microsoft Office Word</Application>
  <DocSecurity>0</DocSecurity>
  <Lines>168</Lines>
  <Paragraphs>47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Eleonor Svantesson</dc:creator>
  <cp:keywords/>
  <dc:description/>
  <cp:lastModifiedBy>Eric Hamrin Senorski</cp:lastModifiedBy>
  <cp:revision>3</cp:revision>
  <dcterms:created xsi:type="dcterms:W3CDTF">2018-05-05T09:41:00Z</dcterms:created>
  <dcterms:modified xsi:type="dcterms:W3CDTF">2018-05-05T09:46:00Z</dcterms:modified>
</cp:coreProperties>
</file>