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3A3C" w:rsidRPr="00B161C7" w:rsidRDefault="00AB3A3C" w:rsidP="00AB3A3C">
      <w:pPr>
        <w:spacing w:after="160" w:line="259" w:lineRule="auto"/>
        <w:rPr>
          <w:rFonts w:ascii="Calibri" w:eastAsia="Calibri" w:hAnsi="Calibri" w:cs="Arial"/>
          <w:b/>
        </w:rPr>
      </w:pPr>
      <w:r w:rsidRPr="00B161C7">
        <w:rPr>
          <w:rFonts w:ascii="Calibri" w:eastAsia="Calibri" w:hAnsi="Calibri" w:cs="Arial"/>
          <w:b/>
        </w:rPr>
        <w:t xml:space="preserve">Online supplementary file 5: Narrative synthesis of CPG recommendations </w:t>
      </w:r>
    </w:p>
    <w:p w:rsidR="00AB3A3C" w:rsidRPr="00B161C7" w:rsidRDefault="00AB3A3C" w:rsidP="00AB3A3C">
      <w:pPr>
        <w:spacing w:after="160" w:line="259" w:lineRule="auto"/>
        <w:rPr>
          <w:rFonts w:ascii="Calibri" w:eastAsia="Calibri" w:hAnsi="Calibri" w:cs="Arial"/>
        </w:rPr>
      </w:pPr>
      <w:r w:rsidRPr="00B161C7">
        <w:rPr>
          <w:rFonts w:ascii="Calibri" w:eastAsia="Calibri" w:hAnsi="Calibri" w:cs="Arial"/>
        </w:rPr>
        <w:t xml:space="preserve">This table is a synthesis of MSK pain CPG recommendations. A common consensus statement was identified when recommendations were consistent across CPGs and strongly endorsed or not endorsed i.e. the majority of CPGs included “should do” or “do not do” recommendations.  </w:t>
      </w:r>
    </w:p>
    <w:p w:rsidR="00AB3A3C" w:rsidRPr="00B161C7" w:rsidRDefault="00AB3A3C" w:rsidP="00AB3A3C">
      <w:pPr>
        <w:spacing w:after="160" w:line="259" w:lineRule="auto"/>
        <w:rPr>
          <w:rFonts w:ascii="Calibri" w:eastAsia="Calibri" w:hAnsi="Calibri" w:cs="Arial"/>
        </w:rPr>
      </w:pPr>
      <w:r w:rsidRPr="00B161C7">
        <w:rPr>
          <w:rFonts w:ascii="Calibri" w:eastAsia="Calibri" w:hAnsi="Calibri" w:cs="Arial"/>
        </w:rPr>
        <w:t xml:space="preserve">“Should do” recommendations were defined as those that should generally be applied in all circumstances unless there is a rationale not to. These were usually based on a strong evidence e.g. a high level of evidence based on a number of high quality studies reporting a clinically relevant positive effects, with benefits that outweigh risks. However sometimes “should do” recommendations were based on the opinion of expert CPG development group members when there is a strong belief that the recommendation should be applied or its implementation was self-evident. CPGs terminology consistent with a “should do” recommendation includes “strong recommendation” e.g. </w:t>
      </w:r>
      <w:r w:rsidRPr="005038FB">
        <w:rPr>
          <w:rFonts w:ascii="Calibri" w:eastAsia="Calibri" w:hAnsi="Calibri" w:cs="Arial"/>
          <w:noProof/>
          <w:vertAlign w:val="superscript"/>
        </w:rPr>
        <w:t>91</w:t>
      </w:r>
      <w:r w:rsidRPr="00B161C7">
        <w:rPr>
          <w:rFonts w:ascii="Calibri" w:eastAsia="Calibri" w:hAnsi="Calibri" w:cs="Arial"/>
        </w:rPr>
        <w:t xml:space="preserve">, “offer” e.g. </w:t>
      </w:r>
      <w:r w:rsidRPr="005038FB">
        <w:rPr>
          <w:rFonts w:ascii="Calibri" w:eastAsia="Calibri" w:hAnsi="Calibri" w:cs="Arial"/>
          <w:noProof/>
          <w:vertAlign w:val="superscript"/>
        </w:rPr>
        <w:t>34 35</w:t>
      </w:r>
      <w:r w:rsidRPr="00B161C7">
        <w:rPr>
          <w:rFonts w:ascii="Calibri" w:eastAsia="Calibri" w:hAnsi="Calibri" w:cs="Arial"/>
        </w:rPr>
        <w:t xml:space="preserve">, and “should” occur e.g. </w:t>
      </w:r>
      <w:r w:rsidRPr="005038FB">
        <w:rPr>
          <w:rFonts w:ascii="Calibri" w:eastAsia="Calibri" w:hAnsi="Calibri" w:cs="Arial"/>
          <w:noProof/>
          <w:vertAlign w:val="superscript"/>
        </w:rPr>
        <w:t>36 37</w:t>
      </w:r>
      <w:r w:rsidRPr="00B161C7">
        <w:rPr>
          <w:rFonts w:ascii="Calibri" w:eastAsia="Calibri" w:hAnsi="Calibri" w:cs="Arial"/>
        </w:rPr>
        <w:t>.</w:t>
      </w:r>
    </w:p>
    <w:p w:rsidR="00AB3A3C" w:rsidRPr="00B161C7" w:rsidRDefault="00AB3A3C" w:rsidP="00AB3A3C">
      <w:pPr>
        <w:spacing w:after="160" w:line="259" w:lineRule="auto"/>
        <w:rPr>
          <w:rFonts w:ascii="Calibri" w:eastAsia="Calibri" w:hAnsi="Calibri" w:cs="Arial"/>
        </w:rPr>
      </w:pPr>
      <w:r w:rsidRPr="00B161C7">
        <w:rPr>
          <w:rFonts w:ascii="Calibri" w:eastAsia="Calibri" w:hAnsi="Calibri" w:cs="Arial"/>
        </w:rPr>
        <w:t xml:space="preserve">A “do not do” recommendation is when there was no benefit and/or evidence that harms outweigh benefits. Two CPGs provide strong and weak “do not do” recommendations </w:t>
      </w:r>
      <w:r w:rsidRPr="005038FB">
        <w:rPr>
          <w:rFonts w:ascii="Calibri" w:eastAsia="Calibri" w:hAnsi="Calibri" w:cs="Arial"/>
          <w:noProof/>
          <w:vertAlign w:val="superscript"/>
        </w:rPr>
        <w:t>38 40</w:t>
      </w:r>
      <w:r w:rsidRPr="00B161C7">
        <w:rPr>
          <w:rFonts w:ascii="Calibri" w:eastAsia="Calibri" w:hAnsi="Calibri" w:cs="Arial"/>
        </w:rPr>
        <w:t xml:space="preserve">. For the purposes of our review we combined weak and strong “do not do” recommendations. Terminology used in CPGs included “do not offer” e.g. </w:t>
      </w:r>
      <w:r w:rsidRPr="005038FB">
        <w:rPr>
          <w:rFonts w:ascii="Calibri" w:eastAsia="Calibri" w:hAnsi="Calibri" w:cs="Arial"/>
          <w:noProof/>
          <w:vertAlign w:val="superscript"/>
        </w:rPr>
        <w:t>34 38</w:t>
      </w:r>
      <w:r w:rsidRPr="00B161C7">
        <w:rPr>
          <w:rFonts w:ascii="Calibri" w:eastAsia="Calibri" w:hAnsi="Calibri" w:cs="Arial"/>
        </w:rPr>
        <w:t xml:space="preserve">, “should refrain from” </w:t>
      </w:r>
      <w:r w:rsidRPr="005038FB">
        <w:rPr>
          <w:rFonts w:ascii="Calibri" w:eastAsia="Calibri" w:hAnsi="Calibri" w:cs="Arial"/>
          <w:noProof/>
          <w:vertAlign w:val="superscript"/>
        </w:rPr>
        <w:t>41</w:t>
      </w:r>
      <w:r w:rsidRPr="00B161C7">
        <w:rPr>
          <w:rFonts w:ascii="Calibri" w:eastAsia="Calibri" w:hAnsi="Calibri" w:cs="Arial"/>
        </w:rPr>
        <w:t xml:space="preserve">, “do not routinely offer” </w:t>
      </w:r>
      <w:r w:rsidRPr="005038FB">
        <w:rPr>
          <w:rFonts w:ascii="Calibri" w:eastAsia="Calibri" w:hAnsi="Calibri" w:cs="Arial"/>
          <w:noProof/>
          <w:vertAlign w:val="superscript"/>
        </w:rPr>
        <w:t>38</w:t>
      </w:r>
      <w:r w:rsidRPr="00B161C7">
        <w:rPr>
          <w:rFonts w:ascii="Calibri" w:eastAsia="Calibri" w:hAnsi="Calibri" w:cs="Arial"/>
        </w:rPr>
        <w:t xml:space="preserve">, “not appropriate” </w:t>
      </w:r>
      <w:r w:rsidRPr="005038FB">
        <w:rPr>
          <w:rFonts w:ascii="Calibri" w:eastAsia="Calibri" w:hAnsi="Calibri" w:cs="Arial"/>
          <w:noProof/>
          <w:vertAlign w:val="superscript"/>
        </w:rPr>
        <w:t>42</w:t>
      </w:r>
      <w:r w:rsidRPr="00B161C7">
        <w:rPr>
          <w:rFonts w:ascii="Calibri" w:eastAsia="Calibri" w:hAnsi="Calibri" w:cs="Arial"/>
        </w:rPr>
        <w:t xml:space="preserve"> and “should not” </w:t>
      </w:r>
      <w:r w:rsidRPr="005038FB">
        <w:rPr>
          <w:rFonts w:ascii="Calibri" w:eastAsia="Calibri" w:hAnsi="Calibri" w:cs="Arial"/>
          <w:noProof/>
          <w:vertAlign w:val="superscript"/>
        </w:rPr>
        <w:t>41</w:t>
      </w:r>
      <w:r w:rsidRPr="00B161C7">
        <w:rPr>
          <w:rFonts w:ascii="Calibri" w:eastAsia="Calibri" w:hAnsi="Calibri" w:cs="Arial"/>
        </w:rPr>
        <w:t>.</w:t>
      </w:r>
    </w:p>
    <w:p w:rsidR="00AB3A3C" w:rsidRPr="00B161C7" w:rsidRDefault="00AB3A3C" w:rsidP="00AB3A3C">
      <w:pPr>
        <w:spacing w:after="160" w:line="259" w:lineRule="auto"/>
        <w:rPr>
          <w:rFonts w:ascii="Calibri" w:eastAsia="Calibri" w:hAnsi="Calibri" w:cs="Arial"/>
        </w:rPr>
      </w:pPr>
      <w:r w:rsidRPr="00B161C7">
        <w:rPr>
          <w:rFonts w:ascii="Calibri" w:eastAsia="Calibri" w:hAnsi="Calibri" w:cs="Arial"/>
        </w:rPr>
        <w:t>Consensus statements were not developed when recommendations were weaker i.e. predominantly “could do” or “uncertain” (see Table 1), or there were substantial conflicting recommendations in different CPGs. Where it was possible we identified common consensus recommendations across all MSK pain conditions. We also identified specific consensus recommendations for single MSK pain conditions.</w:t>
      </w:r>
    </w:p>
    <w:tbl>
      <w:tblPr>
        <w:tblStyle w:val="TableGrid1"/>
        <w:tblW w:w="5000" w:type="pct"/>
        <w:tblLook w:val="04A0" w:firstRow="1" w:lastRow="0" w:firstColumn="1" w:lastColumn="0" w:noHBand="0" w:noVBand="1"/>
      </w:tblPr>
      <w:tblGrid>
        <w:gridCol w:w="2263"/>
        <w:gridCol w:w="11685"/>
      </w:tblGrid>
      <w:tr w:rsidR="00AB3A3C" w:rsidRPr="00B161C7" w:rsidTr="00D35636">
        <w:tc>
          <w:tcPr>
            <w:tcW w:w="811" w:type="pct"/>
            <w:shd w:val="clear" w:color="auto" w:fill="D9D9D9"/>
          </w:tcPr>
          <w:p w:rsidR="00AB3A3C" w:rsidRPr="00B161C7" w:rsidRDefault="00AB3A3C" w:rsidP="00D35636">
            <w:pPr>
              <w:spacing w:after="0" w:line="240" w:lineRule="auto"/>
              <w:rPr>
                <w:rFonts w:ascii="Calibri" w:eastAsia="Calibri" w:hAnsi="Calibri" w:cs="Arial"/>
                <w:b/>
                <w:sz w:val="20"/>
                <w:szCs w:val="20"/>
              </w:rPr>
            </w:pPr>
            <w:r w:rsidRPr="00B161C7">
              <w:rPr>
                <w:rFonts w:ascii="Calibri" w:eastAsia="Calibri" w:hAnsi="Calibri" w:cs="Arial"/>
                <w:b/>
                <w:sz w:val="20"/>
                <w:szCs w:val="20"/>
              </w:rPr>
              <w:t xml:space="preserve">Management Principles </w:t>
            </w:r>
          </w:p>
        </w:tc>
        <w:tc>
          <w:tcPr>
            <w:tcW w:w="4189" w:type="pct"/>
            <w:shd w:val="clear" w:color="auto" w:fill="D9D9D9"/>
          </w:tcPr>
          <w:p w:rsidR="00AB3A3C" w:rsidRPr="00B161C7" w:rsidRDefault="00AB3A3C" w:rsidP="00D35636">
            <w:pPr>
              <w:spacing w:after="0" w:line="240" w:lineRule="auto"/>
              <w:rPr>
                <w:rFonts w:ascii="Calibri" w:eastAsia="Calibri" w:hAnsi="Calibri" w:cs="Arial"/>
                <w:b/>
                <w:sz w:val="20"/>
                <w:szCs w:val="20"/>
              </w:rPr>
            </w:pPr>
            <w:r w:rsidRPr="00B161C7">
              <w:rPr>
                <w:rFonts w:ascii="Calibri" w:eastAsia="Calibri" w:hAnsi="Calibri" w:cs="Arial"/>
                <w:b/>
                <w:sz w:val="20"/>
                <w:szCs w:val="20"/>
              </w:rPr>
              <w:t xml:space="preserve">Narrative Summary </w:t>
            </w:r>
          </w:p>
        </w:tc>
      </w:tr>
      <w:tr w:rsidR="00AB3A3C" w:rsidRPr="00B161C7" w:rsidTr="00D35636">
        <w:tc>
          <w:tcPr>
            <w:tcW w:w="811" w:type="pct"/>
          </w:tcPr>
          <w:p w:rsidR="00AB3A3C" w:rsidRPr="00B161C7" w:rsidRDefault="00AB3A3C" w:rsidP="00D35636">
            <w:pPr>
              <w:spacing w:after="0" w:line="240" w:lineRule="auto"/>
              <w:rPr>
                <w:rFonts w:ascii="Calibri" w:eastAsia="Calibri" w:hAnsi="Calibri" w:cs="Arial"/>
                <w:sz w:val="20"/>
                <w:szCs w:val="20"/>
              </w:rPr>
            </w:pPr>
            <w:r w:rsidRPr="00B161C7">
              <w:rPr>
                <w:rFonts w:ascii="Calibri" w:eastAsia="Calibri" w:hAnsi="Calibri" w:cs="Arial"/>
                <w:sz w:val="20"/>
                <w:szCs w:val="20"/>
              </w:rPr>
              <w:t>Patient–centred care</w:t>
            </w:r>
          </w:p>
          <w:p w:rsidR="00AB3A3C" w:rsidRPr="00B161C7" w:rsidRDefault="00AB3A3C" w:rsidP="00D35636">
            <w:pPr>
              <w:spacing w:after="0" w:line="240" w:lineRule="auto"/>
              <w:rPr>
                <w:rFonts w:ascii="Calibri" w:eastAsia="Calibri" w:hAnsi="Calibri" w:cs="Arial"/>
                <w:sz w:val="20"/>
                <w:szCs w:val="20"/>
              </w:rPr>
            </w:pPr>
          </w:p>
        </w:tc>
        <w:tc>
          <w:tcPr>
            <w:tcW w:w="4189" w:type="pct"/>
          </w:tcPr>
          <w:p w:rsidR="00AB3A3C" w:rsidRPr="00B161C7" w:rsidRDefault="00AB3A3C" w:rsidP="00D35636">
            <w:pPr>
              <w:spacing w:after="0" w:line="240" w:lineRule="auto"/>
              <w:rPr>
                <w:rFonts w:ascii="Calibri" w:eastAsia="Calibri" w:hAnsi="Calibri" w:cs="Arial"/>
                <w:sz w:val="20"/>
                <w:szCs w:val="20"/>
              </w:rPr>
            </w:pPr>
            <w:r w:rsidRPr="00B161C7">
              <w:rPr>
                <w:rFonts w:ascii="Calibri" w:eastAsia="Calibri" w:hAnsi="Calibri" w:cs="Arial"/>
                <w:sz w:val="20"/>
                <w:szCs w:val="20"/>
              </w:rPr>
              <w:t xml:space="preserve">All CPGs, from each of the MSK pain conditions, discussed factors consistent with patient-centred approaches to care. In nearly all CPGs patient centred care was discussed in the introduction, such as incorporated into introductory statements prefacing the recommendations, or as a principle underlying the CPG.  Four CPGs included one or more aspects of a patient centred approach to care within their recommendations </w:t>
            </w:r>
            <w:r w:rsidRPr="005038FB">
              <w:rPr>
                <w:rFonts w:ascii="Calibri" w:eastAsia="Calibri" w:hAnsi="Calibri" w:cs="Arial"/>
                <w:noProof/>
                <w:sz w:val="20"/>
                <w:szCs w:val="20"/>
                <w:vertAlign w:val="superscript"/>
              </w:rPr>
              <w:t>33 36 41 45</w:t>
            </w:r>
            <w:r w:rsidRPr="00B161C7">
              <w:rPr>
                <w:rFonts w:ascii="Calibri" w:eastAsia="Calibri" w:hAnsi="Calibri" w:cs="Arial"/>
                <w:sz w:val="20"/>
                <w:szCs w:val="20"/>
              </w:rPr>
              <w:t xml:space="preserve"> for example “Clinicians should use a shared decision making process with the injured worker to develop a management plan” </w:t>
            </w:r>
            <w:r w:rsidRPr="005038FB">
              <w:rPr>
                <w:rFonts w:ascii="Calibri" w:eastAsia="Calibri" w:hAnsi="Calibri" w:cs="Arial"/>
                <w:noProof/>
                <w:sz w:val="20"/>
                <w:szCs w:val="20"/>
                <w:vertAlign w:val="superscript"/>
              </w:rPr>
              <w:t>41</w:t>
            </w:r>
            <w:r w:rsidRPr="00B161C7">
              <w:rPr>
                <w:rFonts w:ascii="Calibri" w:eastAsia="Calibri" w:hAnsi="Calibri" w:cs="Arial"/>
                <w:sz w:val="20"/>
                <w:szCs w:val="20"/>
              </w:rPr>
              <w:t xml:space="preserve">. Patient centre care included providing individualised care, appropriate communication, shared decision making, or explicitly described as “patient centred care”. </w:t>
            </w:r>
          </w:p>
          <w:p w:rsidR="00AB3A3C" w:rsidRPr="00B161C7" w:rsidRDefault="00AB3A3C" w:rsidP="00D35636">
            <w:pPr>
              <w:spacing w:after="0" w:line="240" w:lineRule="auto"/>
              <w:rPr>
                <w:rFonts w:ascii="Calibri" w:eastAsia="Calibri" w:hAnsi="Calibri" w:cs="Arial"/>
                <w:sz w:val="20"/>
                <w:szCs w:val="20"/>
              </w:rPr>
            </w:pPr>
          </w:p>
          <w:p w:rsidR="00AB3A3C" w:rsidRPr="00B161C7" w:rsidRDefault="00AB3A3C" w:rsidP="00D35636">
            <w:pPr>
              <w:spacing w:after="0" w:line="240" w:lineRule="auto"/>
              <w:rPr>
                <w:rFonts w:ascii="Calibri" w:eastAsia="Calibri" w:hAnsi="Calibri" w:cs="Arial"/>
                <w:sz w:val="20"/>
                <w:szCs w:val="20"/>
              </w:rPr>
            </w:pPr>
            <w:r w:rsidRPr="00B161C7">
              <w:rPr>
                <w:rFonts w:ascii="Calibri" w:eastAsia="Calibri" w:hAnsi="Calibri" w:cs="Arial"/>
                <w:sz w:val="20"/>
                <w:szCs w:val="20"/>
              </w:rPr>
              <w:t xml:space="preserve">Patient centred care most commonly related to providing individualised care that considered the context of the patient </w:t>
            </w:r>
            <w:r w:rsidRPr="005038FB">
              <w:rPr>
                <w:rFonts w:ascii="Calibri" w:eastAsia="Calibri" w:hAnsi="Calibri" w:cs="Arial"/>
                <w:noProof/>
                <w:sz w:val="20"/>
                <w:szCs w:val="20"/>
                <w:vertAlign w:val="superscript"/>
              </w:rPr>
              <w:t>33 35-42 45</w:t>
            </w:r>
            <w:r w:rsidRPr="00B161C7">
              <w:rPr>
                <w:rFonts w:ascii="Calibri" w:eastAsia="Calibri" w:hAnsi="Calibri" w:cs="Arial"/>
                <w:sz w:val="20"/>
                <w:szCs w:val="20"/>
              </w:rPr>
              <w:t xml:space="preserve">. For example “Treatment of hip and/or knee OA should be individualised according to the wishes and expectations of the individual, localisation of OA, risk factors (such as age, sex, comorbidity, obesity and adverse mechanical factors), presence of inflammation, severity of structural change, level of pain and restriction of daily activities, societal participation and quality of life” </w:t>
            </w:r>
            <w:r w:rsidRPr="005038FB">
              <w:rPr>
                <w:rFonts w:ascii="Calibri" w:eastAsia="Calibri" w:hAnsi="Calibri" w:cs="Arial"/>
                <w:noProof/>
                <w:sz w:val="20"/>
                <w:szCs w:val="20"/>
                <w:vertAlign w:val="superscript"/>
              </w:rPr>
              <w:t>36</w:t>
            </w:r>
            <w:r w:rsidRPr="00B161C7">
              <w:rPr>
                <w:rFonts w:ascii="Calibri" w:eastAsia="Calibri" w:hAnsi="Calibri" w:cs="Arial"/>
                <w:sz w:val="20"/>
                <w:szCs w:val="20"/>
              </w:rPr>
              <w:t xml:space="preserve">.  </w:t>
            </w:r>
          </w:p>
          <w:p w:rsidR="00AB3A3C" w:rsidRPr="00B161C7" w:rsidRDefault="00AB3A3C" w:rsidP="00D35636">
            <w:pPr>
              <w:spacing w:after="0" w:line="240" w:lineRule="auto"/>
              <w:rPr>
                <w:rFonts w:ascii="Calibri" w:eastAsia="Calibri" w:hAnsi="Calibri" w:cs="Arial"/>
                <w:sz w:val="20"/>
                <w:szCs w:val="20"/>
              </w:rPr>
            </w:pPr>
          </w:p>
          <w:p w:rsidR="00AB3A3C" w:rsidRPr="00B161C7" w:rsidRDefault="00AB3A3C" w:rsidP="00D35636">
            <w:pPr>
              <w:spacing w:after="0" w:line="240" w:lineRule="auto"/>
              <w:rPr>
                <w:rFonts w:ascii="Calibri" w:eastAsia="Calibri" w:hAnsi="Calibri" w:cs="Arial"/>
                <w:sz w:val="20"/>
                <w:szCs w:val="20"/>
              </w:rPr>
            </w:pPr>
            <w:r w:rsidRPr="00B161C7">
              <w:rPr>
                <w:rFonts w:ascii="Calibri" w:eastAsia="Calibri" w:hAnsi="Calibri" w:cs="Arial"/>
                <w:sz w:val="20"/>
                <w:szCs w:val="20"/>
              </w:rPr>
              <w:t xml:space="preserve">Two CPGs for OA </w:t>
            </w:r>
            <w:r w:rsidRPr="005038FB">
              <w:rPr>
                <w:rFonts w:ascii="Calibri" w:eastAsia="Calibri" w:hAnsi="Calibri" w:cs="Arial"/>
                <w:noProof/>
                <w:sz w:val="20"/>
                <w:szCs w:val="20"/>
                <w:vertAlign w:val="superscript"/>
              </w:rPr>
              <w:t>45 58</w:t>
            </w:r>
            <w:r w:rsidRPr="00B161C7">
              <w:rPr>
                <w:rFonts w:ascii="Calibri" w:eastAsia="Calibri" w:hAnsi="Calibri" w:cs="Arial"/>
                <w:sz w:val="20"/>
                <w:szCs w:val="20"/>
              </w:rPr>
              <w:t xml:space="preserve">, one for LBP </w:t>
            </w:r>
            <w:r w:rsidRPr="005038FB">
              <w:rPr>
                <w:rFonts w:ascii="Calibri" w:eastAsia="Calibri" w:hAnsi="Calibri" w:cs="Arial"/>
                <w:noProof/>
                <w:sz w:val="20"/>
                <w:szCs w:val="20"/>
                <w:vertAlign w:val="superscript"/>
              </w:rPr>
              <w:t>37</w:t>
            </w:r>
            <w:r w:rsidRPr="00B161C7">
              <w:rPr>
                <w:rFonts w:ascii="Calibri" w:eastAsia="Calibri" w:hAnsi="Calibri" w:cs="Arial"/>
                <w:sz w:val="20"/>
                <w:szCs w:val="20"/>
              </w:rPr>
              <w:t xml:space="preserve"> and one for rotator cuff disorders </w:t>
            </w:r>
            <w:r w:rsidRPr="005038FB">
              <w:rPr>
                <w:rFonts w:ascii="Calibri" w:eastAsia="Calibri" w:hAnsi="Calibri" w:cs="Arial"/>
                <w:noProof/>
                <w:sz w:val="20"/>
                <w:szCs w:val="20"/>
                <w:vertAlign w:val="superscript"/>
              </w:rPr>
              <w:t>41</w:t>
            </w:r>
            <w:r w:rsidRPr="00B161C7">
              <w:rPr>
                <w:rFonts w:ascii="Calibri" w:eastAsia="Calibri" w:hAnsi="Calibri" w:cs="Arial"/>
                <w:sz w:val="20"/>
                <w:szCs w:val="20"/>
              </w:rPr>
              <w:t xml:space="preserve"> discussed the importance of effective patient-provider communication. The CPG for rotator cuff disorders, developed in Australia, described how communication must consider cultural and </w:t>
            </w:r>
            <w:r w:rsidRPr="00B161C7">
              <w:rPr>
                <w:rFonts w:ascii="Calibri" w:eastAsia="Calibri" w:hAnsi="Calibri" w:cs="Arial"/>
                <w:sz w:val="20"/>
                <w:szCs w:val="20"/>
              </w:rPr>
              <w:lastRenderedPageBreak/>
              <w:t xml:space="preserve">language diversity “to ensure effective and culturally appropriate communication with patients” </w:t>
            </w:r>
            <w:r w:rsidRPr="005038FB">
              <w:rPr>
                <w:rFonts w:ascii="Calibri" w:eastAsia="Calibri" w:hAnsi="Calibri" w:cs="Arial"/>
                <w:noProof/>
                <w:sz w:val="20"/>
                <w:szCs w:val="20"/>
                <w:vertAlign w:val="superscript"/>
              </w:rPr>
              <w:t>41</w:t>
            </w:r>
            <w:r w:rsidRPr="00B161C7">
              <w:rPr>
                <w:rFonts w:ascii="Calibri" w:eastAsia="Calibri" w:hAnsi="Calibri" w:cs="Arial"/>
                <w:sz w:val="20"/>
                <w:szCs w:val="20"/>
              </w:rPr>
              <w:t xml:space="preserve">. The NICE CPG focussed on “patient centred approach to communication” and the importance to shared goal setting and developing the therapeutic relationship </w:t>
            </w:r>
            <w:r w:rsidRPr="005038FB">
              <w:rPr>
                <w:rFonts w:ascii="Calibri" w:eastAsia="Calibri" w:hAnsi="Calibri" w:cs="Arial"/>
                <w:noProof/>
                <w:sz w:val="20"/>
                <w:szCs w:val="20"/>
                <w:vertAlign w:val="superscript"/>
              </w:rPr>
              <w:t>45</w:t>
            </w:r>
            <w:r w:rsidRPr="00B161C7">
              <w:rPr>
                <w:rFonts w:ascii="Calibri" w:eastAsia="Calibri" w:hAnsi="Calibri" w:cs="Arial"/>
                <w:sz w:val="20"/>
                <w:szCs w:val="20"/>
              </w:rPr>
              <w:t xml:space="preserve">.  </w:t>
            </w:r>
          </w:p>
          <w:p w:rsidR="00AB3A3C" w:rsidRPr="00B161C7" w:rsidRDefault="00AB3A3C" w:rsidP="00D35636">
            <w:pPr>
              <w:spacing w:after="0" w:line="240" w:lineRule="auto"/>
              <w:rPr>
                <w:rFonts w:ascii="Calibri" w:eastAsia="Calibri" w:hAnsi="Calibri" w:cs="Arial"/>
                <w:sz w:val="20"/>
                <w:szCs w:val="20"/>
              </w:rPr>
            </w:pPr>
          </w:p>
          <w:p w:rsidR="00AB3A3C" w:rsidRPr="00B161C7" w:rsidRDefault="00AB3A3C" w:rsidP="00D35636">
            <w:pPr>
              <w:spacing w:after="0" w:line="240" w:lineRule="auto"/>
              <w:rPr>
                <w:rFonts w:ascii="Calibri" w:eastAsia="Calibri" w:hAnsi="Calibri" w:cs="Arial"/>
                <w:sz w:val="20"/>
                <w:szCs w:val="20"/>
              </w:rPr>
            </w:pPr>
            <w:r w:rsidRPr="00B161C7">
              <w:rPr>
                <w:rFonts w:ascii="Calibri" w:eastAsia="Calibri" w:hAnsi="Calibri" w:cs="Arial"/>
                <w:sz w:val="20"/>
                <w:szCs w:val="20"/>
              </w:rPr>
              <w:t xml:space="preserve">Three CPGs discussed shared decision making </w:t>
            </w:r>
            <w:r w:rsidRPr="005038FB">
              <w:rPr>
                <w:rFonts w:ascii="Calibri" w:eastAsia="Calibri" w:hAnsi="Calibri" w:cs="Arial"/>
                <w:noProof/>
                <w:sz w:val="20"/>
                <w:szCs w:val="20"/>
                <w:vertAlign w:val="superscript"/>
              </w:rPr>
              <w:t>37 41 45</w:t>
            </w:r>
            <w:r w:rsidRPr="00B161C7">
              <w:rPr>
                <w:rFonts w:ascii="Calibri" w:eastAsia="Calibri" w:hAnsi="Calibri" w:cs="Arial"/>
                <w:sz w:val="20"/>
                <w:szCs w:val="20"/>
              </w:rPr>
              <w:t xml:space="preserve">, for example “Clinicians should use a shared decision making process with the injured worker to develop a management plan” </w:t>
            </w:r>
            <w:r w:rsidRPr="005038FB">
              <w:rPr>
                <w:rFonts w:ascii="Calibri" w:eastAsia="Calibri" w:hAnsi="Calibri" w:cs="Arial"/>
                <w:noProof/>
                <w:sz w:val="20"/>
                <w:szCs w:val="20"/>
                <w:vertAlign w:val="superscript"/>
              </w:rPr>
              <w:t>41</w:t>
            </w:r>
            <w:r w:rsidRPr="00B161C7">
              <w:rPr>
                <w:rFonts w:ascii="Calibri" w:eastAsia="Calibri" w:hAnsi="Calibri" w:cs="Arial"/>
                <w:sz w:val="20"/>
                <w:szCs w:val="20"/>
              </w:rPr>
              <w:t xml:space="preserve">. Two CPGs explicitly discussed incorporating the principles of patient centred care </w:t>
            </w:r>
            <w:r w:rsidRPr="005038FB">
              <w:rPr>
                <w:rFonts w:ascii="Calibri" w:eastAsia="Calibri" w:hAnsi="Calibri" w:cs="Arial"/>
                <w:noProof/>
                <w:sz w:val="20"/>
                <w:szCs w:val="20"/>
                <w:vertAlign w:val="superscript"/>
              </w:rPr>
              <w:t>34 38</w:t>
            </w:r>
            <w:r w:rsidRPr="00B161C7">
              <w:rPr>
                <w:rFonts w:ascii="Calibri" w:eastAsia="Calibri" w:hAnsi="Calibri" w:cs="Arial"/>
                <w:sz w:val="20"/>
                <w:szCs w:val="20"/>
              </w:rPr>
              <w:t>.</w:t>
            </w:r>
          </w:p>
          <w:p w:rsidR="00AB3A3C" w:rsidRPr="00B161C7" w:rsidRDefault="00AB3A3C" w:rsidP="00D35636">
            <w:pPr>
              <w:spacing w:after="0" w:line="240" w:lineRule="auto"/>
              <w:rPr>
                <w:rFonts w:ascii="Calibri" w:eastAsia="Calibri" w:hAnsi="Calibri" w:cs="Arial"/>
                <w:sz w:val="20"/>
                <w:szCs w:val="20"/>
              </w:rPr>
            </w:pPr>
          </w:p>
          <w:p w:rsidR="00AB3A3C" w:rsidRPr="00B161C7" w:rsidRDefault="00AB3A3C" w:rsidP="00D35636">
            <w:pPr>
              <w:spacing w:after="0" w:line="240" w:lineRule="auto"/>
              <w:rPr>
                <w:rFonts w:ascii="Calibri" w:eastAsia="Calibri" w:hAnsi="Calibri" w:cs="Arial"/>
                <w:sz w:val="20"/>
                <w:szCs w:val="20"/>
              </w:rPr>
            </w:pPr>
          </w:p>
          <w:p w:rsidR="00AB3A3C" w:rsidRPr="00B161C7" w:rsidRDefault="00AB3A3C" w:rsidP="00D35636">
            <w:pPr>
              <w:spacing w:after="0" w:line="240" w:lineRule="auto"/>
              <w:rPr>
                <w:rFonts w:ascii="Calibri" w:eastAsia="Calibri" w:hAnsi="Calibri" w:cs="Arial"/>
                <w:sz w:val="20"/>
                <w:szCs w:val="20"/>
                <w:highlight w:val="yellow"/>
              </w:rPr>
            </w:pPr>
            <w:r w:rsidRPr="00B161C7">
              <w:rPr>
                <w:rFonts w:ascii="Calibri" w:eastAsia="Calibri" w:hAnsi="Calibri" w:cs="Arial"/>
                <w:sz w:val="20"/>
                <w:szCs w:val="20"/>
                <w:highlight w:val="yellow"/>
              </w:rPr>
              <w:t xml:space="preserve">Consensus across MSK pain conditions: </w:t>
            </w:r>
          </w:p>
          <w:p w:rsidR="00AB3A3C" w:rsidRPr="00B161C7" w:rsidRDefault="00AB3A3C" w:rsidP="00AB3A3C">
            <w:pPr>
              <w:numPr>
                <w:ilvl w:val="0"/>
                <w:numId w:val="1"/>
              </w:numPr>
              <w:spacing w:after="0" w:line="240" w:lineRule="auto"/>
              <w:contextualSpacing/>
              <w:rPr>
                <w:rFonts w:ascii="Calibri" w:eastAsia="Calibri" w:hAnsi="Calibri" w:cs="Times New Roman"/>
                <w:sz w:val="20"/>
                <w:szCs w:val="20"/>
                <w:highlight w:val="yellow"/>
              </w:rPr>
            </w:pPr>
            <w:r w:rsidRPr="00B161C7">
              <w:rPr>
                <w:rFonts w:ascii="Calibri" w:eastAsia="Calibri" w:hAnsi="Calibri" w:cs="Times New Roman"/>
                <w:sz w:val="20"/>
                <w:szCs w:val="20"/>
                <w:highlight w:val="yellow"/>
              </w:rPr>
              <w:t>Management should be patient centred. This includes care that is responsive to the individual context of the patient, employment of effective communication, and use of shared decision making processes.</w:t>
            </w:r>
          </w:p>
          <w:p w:rsidR="00AB3A3C" w:rsidRPr="00B161C7" w:rsidRDefault="00AB3A3C" w:rsidP="00D35636">
            <w:pPr>
              <w:spacing w:after="0" w:line="240" w:lineRule="auto"/>
              <w:ind w:left="360"/>
              <w:contextualSpacing/>
              <w:rPr>
                <w:rFonts w:ascii="Calibri" w:eastAsia="Calibri" w:hAnsi="Calibri" w:cs="Arial"/>
                <w:sz w:val="20"/>
                <w:szCs w:val="20"/>
                <w:u w:val="single"/>
              </w:rPr>
            </w:pPr>
          </w:p>
        </w:tc>
      </w:tr>
      <w:tr w:rsidR="00AB3A3C" w:rsidRPr="00B161C7" w:rsidTr="00D35636">
        <w:tc>
          <w:tcPr>
            <w:tcW w:w="811" w:type="pct"/>
            <w:shd w:val="clear" w:color="auto" w:fill="D9D9D9"/>
          </w:tcPr>
          <w:p w:rsidR="00AB3A3C" w:rsidRPr="00B161C7" w:rsidRDefault="00AB3A3C" w:rsidP="00D35636">
            <w:pPr>
              <w:spacing w:after="0" w:line="240" w:lineRule="auto"/>
              <w:rPr>
                <w:rFonts w:ascii="Calibri" w:eastAsia="Calibri" w:hAnsi="Calibri" w:cs="Arial"/>
                <w:b/>
                <w:sz w:val="20"/>
                <w:szCs w:val="20"/>
              </w:rPr>
            </w:pPr>
            <w:r w:rsidRPr="00B161C7">
              <w:rPr>
                <w:rFonts w:ascii="Calibri" w:eastAsia="Calibri" w:hAnsi="Calibri" w:cs="Arial"/>
                <w:b/>
                <w:sz w:val="20"/>
                <w:szCs w:val="20"/>
              </w:rPr>
              <w:lastRenderedPageBreak/>
              <w:t xml:space="preserve">Assessment </w:t>
            </w:r>
          </w:p>
        </w:tc>
        <w:tc>
          <w:tcPr>
            <w:tcW w:w="4189" w:type="pct"/>
            <w:tcBorders>
              <w:bottom w:val="single" w:sz="4" w:space="0" w:color="auto"/>
            </w:tcBorders>
            <w:shd w:val="clear" w:color="auto" w:fill="D9D9D9"/>
          </w:tcPr>
          <w:p w:rsidR="00AB3A3C" w:rsidRPr="00B161C7" w:rsidRDefault="00AB3A3C" w:rsidP="00D35636">
            <w:pPr>
              <w:spacing w:after="0" w:line="240" w:lineRule="auto"/>
              <w:rPr>
                <w:rFonts w:ascii="Calibri" w:eastAsia="Calibri" w:hAnsi="Calibri" w:cs="Arial"/>
                <w:b/>
                <w:sz w:val="20"/>
                <w:szCs w:val="20"/>
              </w:rPr>
            </w:pPr>
          </w:p>
        </w:tc>
      </w:tr>
      <w:tr w:rsidR="00AB3A3C" w:rsidRPr="00B161C7" w:rsidTr="00D35636">
        <w:tc>
          <w:tcPr>
            <w:tcW w:w="811" w:type="pct"/>
          </w:tcPr>
          <w:p w:rsidR="00AB3A3C" w:rsidRPr="00B161C7" w:rsidRDefault="00AB3A3C" w:rsidP="00D35636">
            <w:pPr>
              <w:spacing w:after="0" w:line="240" w:lineRule="auto"/>
              <w:rPr>
                <w:rFonts w:ascii="Calibri" w:eastAsia="Calibri" w:hAnsi="Calibri" w:cs="Arial"/>
                <w:sz w:val="20"/>
                <w:szCs w:val="20"/>
              </w:rPr>
            </w:pPr>
            <w:r w:rsidRPr="00B161C7">
              <w:rPr>
                <w:rFonts w:ascii="Calibri" w:eastAsia="Calibri" w:hAnsi="Calibri" w:cs="Arial"/>
                <w:sz w:val="20"/>
                <w:szCs w:val="20"/>
              </w:rPr>
              <w:t xml:space="preserve">Diagnosis: screen for serious pathology </w:t>
            </w:r>
          </w:p>
        </w:tc>
        <w:tc>
          <w:tcPr>
            <w:tcW w:w="4189" w:type="pct"/>
            <w:tcBorders>
              <w:bottom w:val="single" w:sz="4" w:space="0" w:color="auto"/>
            </w:tcBorders>
          </w:tcPr>
          <w:p w:rsidR="00AB3A3C" w:rsidRPr="00B161C7" w:rsidRDefault="00AB3A3C" w:rsidP="00D35636">
            <w:pPr>
              <w:spacing w:after="0" w:line="240" w:lineRule="auto"/>
              <w:rPr>
                <w:rFonts w:ascii="Calibri" w:eastAsia="Calibri" w:hAnsi="Calibri" w:cs="Arial"/>
                <w:sz w:val="20"/>
                <w:szCs w:val="20"/>
              </w:rPr>
            </w:pPr>
            <w:r w:rsidRPr="00B161C7">
              <w:rPr>
                <w:rFonts w:ascii="Calibri" w:eastAsia="Calibri" w:hAnsi="Calibri" w:cs="Arial"/>
                <w:sz w:val="20"/>
                <w:szCs w:val="20"/>
              </w:rPr>
              <w:t xml:space="preserve">Seven CPGs, including three for LBP </w:t>
            </w:r>
            <w:r w:rsidRPr="005038FB">
              <w:rPr>
                <w:rFonts w:ascii="Calibri" w:eastAsia="Calibri" w:hAnsi="Calibri" w:cs="Arial"/>
                <w:noProof/>
                <w:sz w:val="20"/>
                <w:szCs w:val="20"/>
                <w:vertAlign w:val="superscript"/>
              </w:rPr>
              <w:t>35 37 38</w:t>
            </w:r>
            <w:r w:rsidRPr="00B161C7">
              <w:rPr>
                <w:rFonts w:ascii="Calibri" w:eastAsia="Calibri" w:hAnsi="Calibri" w:cs="Arial"/>
                <w:sz w:val="20"/>
                <w:szCs w:val="20"/>
              </w:rPr>
              <w:t xml:space="preserve">, two for neck pain </w:t>
            </w:r>
            <w:r w:rsidRPr="005038FB">
              <w:rPr>
                <w:rFonts w:ascii="Calibri" w:eastAsia="Calibri" w:hAnsi="Calibri" w:cs="Arial"/>
                <w:noProof/>
                <w:sz w:val="20"/>
                <w:szCs w:val="20"/>
                <w:vertAlign w:val="superscript"/>
              </w:rPr>
              <w:t>33 34</w:t>
            </w:r>
            <w:r w:rsidRPr="00B161C7">
              <w:rPr>
                <w:rFonts w:ascii="Calibri" w:eastAsia="Calibri" w:hAnsi="Calibri" w:cs="Arial"/>
                <w:sz w:val="20"/>
                <w:szCs w:val="20"/>
              </w:rPr>
              <w:t xml:space="preserve">, and single CPGs for OA </w:t>
            </w:r>
            <w:r w:rsidRPr="005038FB">
              <w:rPr>
                <w:rFonts w:ascii="Calibri" w:eastAsia="Calibri" w:hAnsi="Calibri" w:cs="Arial"/>
                <w:noProof/>
                <w:sz w:val="20"/>
                <w:szCs w:val="20"/>
                <w:vertAlign w:val="superscript"/>
              </w:rPr>
              <w:t>45</w:t>
            </w:r>
            <w:r w:rsidRPr="00B161C7">
              <w:rPr>
                <w:rFonts w:ascii="Calibri" w:eastAsia="Calibri" w:hAnsi="Calibri" w:cs="Arial"/>
                <w:sz w:val="20"/>
                <w:szCs w:val="20"/>
              </w:rPr>
              <w:t xml:space="preserve"> and rotator cuff disorders </w:t>
            </w:r>
            <w:proofErr w:type="spellStart"/>
            <w:r w:rsidRPr="00B161C7">
              <w:rPr>
                <w:rFonts w:ascii="Calibri" w:eastAsia="Calibri" w:hAnsi="Calibri" w:cs="Arial"/>
                <w:sz w:val="20"/>
                <w:szCs w:val="20"/>
              </w:rPr>
              <w:t>Hopman</w:t>
            </w:r>
            <w:proofErr w:type="spellEnd"/>
            <w:r w:rsidRPr="00B161C7">
              <w:rPr>
                <w:rFonts w:ascii="Calibri" w:eastAsia="Calibri" w:hAnsi="Calibri" w:cs="Arial"/>
                <w:sz w:val="20"/>
                <w:szCs w:val="20"/>
              </w:rPr>
              <w:t xml:space="preserve">, 2013 #1990} strongly recommended screening for serious or structural pathology/‘red flag’ conditions during initial assessment. Screening should include targeted questioning and physical assessment, with imaging and pathology tests in those where there is clinical suspicion. Examples of serious/‘red flag’ conditions included suspicion of infection, malignancy, fracture, inflammatory causes of LBP, severe and progressive neurological deficit including cauda </w:t>
            </w:r>
            <w:proofErr w:type="spellStart"/>
            <w:r w:rsidRPr="00B161C7">
              <w:rPr>
                <w:rFonts w:ascii="Calibri" w:eastAsia="Calibri" w:hAnsi="Calibri" w:cs="Arial"/>
                <w:sz w:val="20"/>
                <w:szCs w:val="20"/>
              </w:rPr>
              <w:t>equina</w:t>
            </w:r>
            <w:proofErr w:type="spellEnd"/>
            <w:r w:rsidRPr="00B161C7">
              <w:rPr>
                <w:rFonts w:ascii="Calibri" w:eastAsia="Calibri" w:hAnsi="Calibri" w:cs="Arial"/>
                <w:sz w:val="20"/>
                <w:szCs w:val="20"/>
              </w:rPr>
              <w:t xml:space="preserve"> syndrome, and serious conditions that masquerade as MSK pain e.g. aortic aneurysm. The NICE OA CPG identifies important differential diagnoses as gout, other inflammatory </w:t>
            </w:r>
            <w:proofErr w:type="spellStart"/>
            <w:r w:rsidRPr="00B161C7">
              <w:rPr>
                <w:rFonts w:ascii="Calibri" w:eastAsia="Calibri" w:hAnsi="Calibri" w:cs="Arial"/>
                <w:sz w:val="20"/>
                <w:szCs w:val="20"/>
              </w:rPr>
              <w:t>arthritides</w:t>
            </w:r>
            <w:proofErr w:type="spellEnd"/>
            <w:r w:rsidRPr="00B161C7">
              <w:rPr>
                <w:rFonts w:ascii="Calibri" w:eastAsia="Calibri" w:hAnsi="Calibri" w:cs="Arial"/>
                <w:sz w:val="20"/>
                <w:szCs w:val="20"/>
              </w:rPr>
              <w:t xml:space="preserve">, septic arthritis and malignancy (bone pain) </w:t>
            </w:r>
            <w:r w:rsidRPr="005038FB">
              <w:rPr>
                <w:rFonts w:ascii="Calibri" w:eastAsia="Calibri" w:hAnsi="Calibri" w:cs="Arial"/>
                <w:noProof/>
                <w:sz w:val="20"/>
                <w:szCs w:val="20"/>
                <w:vertAlign w:val="superscript"/>
              </w:rPr>
              <w:t>45</w:t>
            </w:r>
            <w:r w:rsidRPr="00B161C7">
              <w:rPr>
                <w:rFonts w:ascii="Calibri" w:eastAsia="Calibri" w:hAnsi="Calibri" w:cs="Arial"/>
                <w:sz w:val="20"/>
                <w:szCs w:val="20"/>
              </w:rPr>
              <w:t xml:space="preserve">.  </w:t>
            </w:r>
          </w:p>
          <w:p w:rsidR="00AB3A3C" w:rsidRPr="00B161C7" w:rsidRDefault="00AB3A3C" w:rsidP="00D35636">
            <w:pPr>
              <w:spacing w:after="0" w:line="240" w:lineRule="auto"/>
              <w:rPr>
                <w:rFonts w:ascii="Calibri" w:eastAsia="Calibri" w:hAnsi="Calibri" w:cs="Arial"/>
                <w:sz w:val="20"/>
                <w:szCs w:val="20"/>
              </w:rPr>
            </w:pPr>
          </w:p>
          <w:p w:rsidR="00AB3A3C" w:rsidRPr="00B161C7" w:rsidRDefault="00AB3A3C" w:rsidP="00D35636">
            <w:pPr>
              <w:spacing w:after="0" w:line="240" w:lineRule="auto"/>
              <w:rPr>
                <w:rFonts w:ascii="Calibri" w:eastAsia="Calibri" w:hAnsi="Calibri" w:cs="Arial"/>
                <w:sz w:val="20"/>
                <w:szCs w:val="20"/>
                <w:highlight w:val="yellow"/>
              </w:rPr>
            </w:pPr>
            <w:r w:rsidRPr="00B161C7">
              <w:rPr>
                <w:rFonts w:ascii="Calibri" w:eastAsia="Calibri" w:hAnsi="Calibri" w:cs="Arial"/>
                <w:sz w:val="20"/>
                <w:szCs w:val="20"/>
                <w:highlight w:val="yellow"/>
              </w:rPr>
              <w:t xml:space="preserve">Consensus across MSK pain conditions: </w:t>
            </w:r>
          </w:p>
          <w:p w:rsidR="00AB3A3C" w:rsidRPr="00B161C7" w:rsidRDefault="00AB3A3C" w:rsidP="00AB3A3C">
            <w:pPr>
              <w:numPr>
                <w:ilvl w:val="0"/>
                <w:numId w:val="1"/>
              </w:numPr>
              <w:spacing w:after="0" w:line="240" w:lineRule="auto"/>
              <w:contextualSpacing/>
              <w:rPr>
                <w:rFonts w:ascii="Calibri" w:eastAsia="Calibri" w:hAnsi="Calibri" w:cs="Arial"/>
                <w:sz w:val="20"/>
                <w:szCs w:val="20"/>
              </w:rPr>
            </w:pPr>
            <w:r w:rsidRPr="00B161C7">
              <w:rPr>
                <w:rFonts w:ascii="Calibri" w:eastAsia="Calibri" w:hAnsi="Calibri" w:cs="Arial"/>
                <w:sz w:val="20"/>
                <w:szCs w:val="20"/>
                <w:highlight w:val="yellow"/>
              </w:rPr>
              <w:t>Practitioners should screen patients to identify those with a higher likelihood of serious pathology/red flag conditions.</w:t>
            </w:r>
          </w:p>
          <w:p w:rsidR="00AB3A3C" w:rsidRPr="00B161C7" w:rsidRDefault="00AB3A3C" w:rsidP="00D35636">
            <w:pPr>
              <w:spacing w:after="0" w:line="240" w:lineRule="auto"/>
              <w:rPr>
                <w:rFonts w:ascii="Calibri" w:eastAsia="Calibri" w:hAnsi="Calibri" w:cs="Arial"/>
                <w:sz w:val="20"/>
                <w:szCs w:val="20"/>
              </w:rPr>
            </w:pPr>
          </w:p>
        </w:tc>
      </w:tr>
      <w:tr w:rsidR="00AB3A3C" w:rsidRPr="00B161C7" w:rsidTr="00D35636">
        <w:tc>
          <w:tcPr>
            <w:tcW w:w="811" w:type="pct"/>
          </w:tcPr>
          <w:p w:rsidR="00AB3A3C" w:rsidRPr="00B161C7" w:rsidRDefault="00AB3A3C" w:rsidP="00D35636">
            <w:pPr>
              <w:spacing w:after="0" w:line="240" w:lineRule="auto"/>
              <w:rPr>
                <w:rFonts w:ascii="Calibri" w:eastAsia="Calibri" w:hAnsi="Calibri" w:cs="Arial"/>
                <w:sz w:val="20"/>
                <w:szCs w:val="20"/>
              </w:rPr>
            </w:pPr>
            <w:r w:rsidRPr="00B161C7">
              <w:rPr>
                <w:rFonts w:ascii="Calibri" w:eastAsia="Calibri" w:hAnsi="Calibri" w:cs="Arial"/>
                <w:sz w:val="20"/>
                <w:szCs w:val="20"/>
              </w:rPr>
              <w:t xml:space="preserve">Diagnosis: Classification </w:t>
            </w:r>
          </w:p>
        </w:tc>
        <w:tc>
          <w:tcPr>
            <w:tcW w:w="4189" w:type="pct"/>
            <w:tcBorders>
              <w:top w:val="single" w:sz="4" w:space="0" w:color="auto"/>
            </w:tcBorders>
          </w:tcPr>
          <w:p w:rsidR="00AB3A3C" w:rsidRPr="00B161C7" w:rsidRDefault="00AB3A3C" w:rsidP="00D35636">
            <w:pPr>
              <w:spacing w:after="0" w:line="240" w:lineRule="auto"/>
              <w:rPr>
                <w:rFonts w:ascii="Calibri" w:eastAsia="Calibri" w:hAnsi="Calibri" w:cs="Arial"/>
                <w:sz w:val="20"/>
                <w:szCs w:val="20"/>
              </w:rPr>
            </w:pPr>
            <w:r w:rsidRPr="00B161C7">
              <w:rPr>
                <w:rFonts w:ascii="Calibri" w:eastAsia="Calibri" w:hAnsi="Calibri" w:cs="Arial"/>
                <w:sz w:val="20"/>
                <w:szCs w:val="20"/>
              </w:rPr>
              <w:t xml:space="preserve">Two neck pain CPGs </w:t>
            </w:r>
            <w:r w:rsidRPr="005038FB">
              <w:rPr>
                <w:rFonts w:ascii="Calibri" w:eastAsia="Calibri" w:hAnsi="Calibri" w:cs="Arial"/>
                <w:noProof/>
                <w:sz w:val="20"/>
                <w:szCs w:val="20"/>
                <w:vertAlign w:val="superscript"/>
              </w:rPr>
              <w:t>33 34</w:t>
            </w:r>
            <w:r w:rsidRPr="00B161C7">
              <w:rPr>
                <w:rFonts w:ascii="Calibri" w:eastAsia="Calibri" w:hAnsi="Calibri" w:cs="Arial"/>
                <w:sz w:val="20"/>
                <w:szCs w:val="20"/>
              </w:rPr>
              <w:t xml:space="preserve"> strongly recommended classifying neck pain associated disorders (NAD) and whiplash associated disorders (WAD) according to the classification of the 2000-2010 Bone and Joint Decade Task Force on Neck Pain and its Associated Disorders; as grade I, II, III or IV </w:t>
            </w:r>
            <w:r w:rsidRPr="005038FB">
              <w:rPr>
                <w:rFonts w:ascii="Calibri" w:eastAsia="Calibri" w:hAnsi="Calibri" w:cs="Arial"/>
                <w:noProof/>
                <w:sz w:val="20"/>
                <w:szCs w:val="20"/>
                <w:vertAlign w:val="superscript"/>
              </w:rPr>
              <w:t>92</w:t>
            </w:r>
            <w:r w:rsidRPr="00B161C7">
              <w:rPr>
                <w:rFonts w:ascii="Calibri" w:eastAsia="Calibri" w:hAnsi="Calibri" w:cs="Arial"/>
                <w:sz w:val="20"/>
                <w:szCs w:val="20"/>
              </w:rPr>
              <w:t xml:space="preserve">. </w:t>
            </w:r>
          </w:p>
          <w:p w:rsidR="00AB3A3C" w:rsidRPr="00B161C7" w:rsidRDefault="00AB3A3C" w:rsidP="00D35636">
            <w:pPr>
              <w:spacing w:after="0" w:line="240" w:lineRule="auto"/>
              <w:rPr>
                <w:rFonts w:ascii="Calibri" w:eastAsia="Calibri" w:hAnsi="Calibri" w:cs="Arial"/>
                <w:sz w:val="20"/>
                <w:szCs w:val="20"/>
              </w:rPr>
            </w:pPr>
          </w:p>
          <w:p w:rsidR="00AB3A3C" w:rsidRPr="00B161C7" w:rsidRDefault="00AB3A3C" w:rsidP="00D35636">
            <w:pPr>
              <w:spacing w:after="0" w:line="240" w:lineRule="auto"/>
              <w:rPr>
                <w:rFonts w:ascii="Calibri" w:eastAsia="Calibri" w:hAnsi="Calibri" w:cs="Arial"/>
                <w:sz w:val="20"/>
                <w:szCs w:val="20"/>
              </w:rPr>
            </w:pPr>
            <w:r w:rsidRPr="00B161C7">
              <w:rPr>
                <w:rFonts w:ascii="Calibri" w:eastAsia="Calibri" w:hAnsi="Calibri" w:cs="Arial"/>
                <w:sz w:val="20"/>
                <w:szCs w:val="20"/>
              </w:rPr>
              <w:t xml:space="preserve">One CPG suggested classifying LBP according to severity (mild, moderate, severe) and/or duration (acute, subacute, chronic, recurrent) </w:t>
            </w:r>
            <w:r w:rsidRPr="005038FB">
              <w:rPr>
                <w:rFonts w:ascii="Calibri" w:eastAsia="Calibri" w:hAnsi="Calibri" w:cs="Arial"/>
                <w:noProof/>
                <w:sz w:val="20"/>
                <w:szCs w:val="20"/>
                <w:vertAlign w:val="superscript"/>
              </w:rPr>
              <w:t>37</w:t>
            </w:r>
            <w:r w:rsidRPr="00B161C7">
              <w:rPr>
                <w:rFonts w:ascii="Calibri" w:eastAsia="Calibri" w:hAnsi="Calibri" w:cs="Arial"/>
                <w:sz w:val="20"/>
                <w:szCs w:val="20"/>
              </w:rPr>
              <w:t xml:space="preserve">. In contrast the NICE LBP CPG has “moved away from the traditional duration-based classification of low back pain (acute, subacute and chronic) and have considered low back pain to be a continuum where risk of poor outcome at any time point is almost certainly more important than the duration of symptoms” p23 </w:t>
            </w:r>
            <w:r w:rsidRPr="005038FB">
              <w:rPr>
                <w:rFonts w:ascii="Calibri" w:eastAsia="Calibri" w:hAnsi="Calibri" w:cs="Arial"/>
                <w:noProof/>
                <w:sz w:val="20"/>
                <w:szCs w:val="20"/>
                <w:vertAlign w:val="superscript"/>
              </w:rPr>
              <w:t>35</w:t>
            </w:r>
            <w:r w:rsidRPr="00B161C7">
              <w:rPr>
                <w:rFonts w:ascii="Calibri" w:eastAsia="Calibri" w:hAnsi="Calibri" w:cs="Arial"/>
                <w:sz w:val="20"/>
                <w:szCs w:val="20"/>
              </w:rPr>
              <w:t xml:space="preserve">. NICE and the Belgian CPG recommended risk stratification of LBP with or without sciatica to inform the type and intensity of management </w:t>
            </w:r>
            <w:r w:rsidRPr="005038FB">
              <w:rPr>
                <w:rFonts w:ascii="Calibri" w:eastAsia="Calibri" w:hAnsi="Calibri" w:cs="Arial"/>
                <w:noProof/>
                <w:sz w:val="20"/>
                <w:szCs w:val="20"/>
                <w:vertAlign w:val="superscript"/>
              </w:rPr>
              <w:t>35 38</w:t>
            </w:r>
            <w:r w:rsidRPr="00B161C7">
              <w:rPr>
                <w:rFonts w:ascii="Calibri" w:eastAsia="Calibri" w:hAnsi="Calibri" w:cs="Arial"/>
                <w:sz w:val="20"/>
                <w:szCs w:val="20"/>
              </w:rPr>
              <w:t xml:space="preserve">. Both of these CPGs suggested use of the </w:t>
            </w:r>
            <w:proofErr w:type="spellStart"/>
            <w:r w:rsidRPr="00B161C7">
              <w:rPr>
                <w:rFonts w:ascii="Calibri" w:eastAsia="Calibri" w:hAnsi="Calibri" w:cs="Arial"/>
                <w:sz w:val="20"/>
                <w:szCs w:val="20"/>
              </w:rPr>
              <w:t>STarTback</w:t>
            </w:r>
            <w:proofErr w:type="spellEnd"/>
            <w:r w:rsidRPr="00B161C7">
              <w:rPr>
                <w:rFonts w:ascii="Calibri" w:eastAsia="Calibri" w:hAnsi="Calibri" w:cs="Arial"/>
                <w:sz w:val="20"/>
                <w:szCs w:val="20"/>
              </w:rPr>
              <w:t xml:space="preserve"> tool, and the Belgian CPG also suggests the short version Orebro Musculoskeletal Pain Screening Questionnaire. The Belgian CPG recommended risk stratification at 2 weeks post onset and not within the first 48 hours of pain </w:t>
            </w:r>
            <w:r w:rsidRPr="005038FB">
              <w:rPr>
                <w:rFonts w:ascii="Calibri" w:eastAsia="Calibri" w:hAnsi="Calibri" w:cs="Arial"/>
                <w:noProof/>
                <w:sz w:val="20"/>
                <w:szCs w:val="20"/>
                <w:vertAlign w:val="superscript"/>
              </w:rPr>
              <w:t>38</w:t>
            </w:r>
            <w:r w:rsidRPr="00B161C7">
              <w:rPr>
                <w:rFonts w:ascii="Calibri" w:eastAsia="Calibri" w:hAnsi="Calibri" w:cs="Arial"/>
                <w:sz w:val="20"/>
                <w:szCs w:val="20"/>
              </w:rPr>
              <w:t xml:space="preserve">. Although the Danish CPG made no recommendations for classifying LBP, it recommended against offering targeted treatments to pre-specified subgroups based on modifiable physical or psychological prognostic factors </w:t>
            </w:r>
            <w:r w:rsidRPr="005038FB">
              <w:rPr>
                <w:rFonts w:ascii="Calibri" w:eastAsia="Calibri" w:hAnsi="Calibri" w:cs="Arial"/>
                <w:noProof/>
                <w:sz w:val="20"/>
                <w:szCs w:val="20"/>
                <w:vertAlign w:val="superscript"/>
              </w:rPr>
              <w:t>40</w:t>
            </w:r>
            <w:r w:rsidRPr="00B161C7">
              <w:rPr>
                <w:rFonts w:ascii="Calibri" w:eastAsia="Calibri" w:hAnsi="Calibri" w:cs="Arial"/>
                <w:sz w:val="20"/>
                <w:szCs w:val="20"/>
              </w:rPr>
              <w:t xml:space="preserve">. This included treatment based on clinical prediction rules. </w:t>
            </w:r>
          </w:p>
          <w:p w:rsidR="00AB3A3C" w:rsidRPr="00B161C7" w:rsidRDefault="00AB3A3C" w:rsidP="00D35636">
            <w:pPr>
              <w:spacing w:after="0" w:line="240" w:lineRule="auto"/>
              <w:rPr>
                <w:rFonts w:ascii="Calibri" w:eastAsia="Calibri" w:hAnsi="Calibri" w:cs="Arial"/>
                <w:sz w:val="20"/>
                <w:szCs w:val="20"/>
              </w:rPr>
            </w:pPr>
          </w:p>
          <w:p w:rsidR="00AB3A3C" w:rsidRPr="00B161C7" w:rsidRDefault="00AB3A3C" w:rsidP="00D35636">
            <w:pPr>
              <w:spacing w:after="0" w:line="240" w:lineRule="auto"/>
              <w:rPr>
                <w:rFonts w:ascii="Calibri" w:eastAsia="Calibri" w:hAnsi="Calibri" w:cs="Arial"/>
                <w:sz w:val="20"/>
                <w:szCs w:val="20"/>
                <w:highlight w:val="green"/>
              </w:rPr>
            </w:pPr>
            <w:r w:rsidRPr="00B161C7">
              <w:rPr>
                <w:rFonts w:ascii="Calibri" w:eastAsia="Calibri" w:hAnsi="Calibri" w:cs="Arial"/>
                <w:sz w:val="20"/>
                <w:szCs w:val="20"/>
                <w:highlight w:val="green"/>
              </w:rPr>
              <w:lastRenderedPageBreak/>
              <w:t xml:space="preserve">Consensus for one MSK pain condition: </w:t>
            </w:r>
          </w:p>
          <w:p w:rsidR="00AB3A3C" w:rsidRPr="00B161C7" w:rsidRDefault="00AB3A3C" w:rsidP="00AB3A3C">
            <w:pPr>
              <w:numPr>
                <w:ilvl w:val="0"/>
                <w:numId w:val="1"/>
              </w:numPr>
              <w:spacing w:after="0" w:line="240" w:lineRule="auto"/>
              <w:contextualSpacing/>
              <w:rPr>
                <w:rFonts w:ascii="Calibri" w:eastAsia="Calibri" w:hAnsi="Calibri" w:cs="Arial"/>
                <w:sz w:val="20"/>
                <w:szCs w:val="20"/>
              </w:rPr>
            </w:pPr>
            <w:r w:rsidRPr="00B161C7">
              <w:rPr>
                <w:rFonts w:ascii="Calibri" w:eastAsia="Calibri" w:hAnsi="Calibri" w:cs="Arial"/>
                <w:sz w:val="20"/>
                <w:szCs w:val="20"/>
                <w:highlight w:val="green"/>
              </w:rPr>
              <w:t>Neck pain disorders should be classified as grade I-IV.</w:t>
            </w:r>
            <w:r w:rsidRPr="00B161C7">
              <w:rPr>
                <w:rFonts w:ascii="Calibri" w:eastAsia="Calibri" w:hAnsi="Calibri" w:cs="Arial"/>
                <w:sz w:val="20"/>
                <w:szCs w:val="20"/>
              </w:rPr>
              <w:t xml:space="preserve"> </w:t>
            </w:r>
          </w:p>
          <w:p w:rsidR="00AB3A3C" w:rsidRPr="00B161C7" w:rsidRDefault="00AB3A3C" w:rsidP="00D35636">
            <w:pPr>
              <w:spacing w:after="0" w:line="240" w:lineRule="auto"/>
              <w:rPr>
                <w:rFonts w:ascii="Calibri" w:eastAsia="Calibri" w:hAnsi="Calibri" w:cs="Arial"/>
                <w:sz w:val="20"/>
                <w:szCs w:val="20"/>
              </w:rPr>
            </w:pPr>
          </w:p>
        </w:tc>
      </w:tr>
      <w:tr w:rsidR="00AB3A3C" w:rsidRPr="00B161C7" w:rsidTr="00D35636">
        <w:tc>
          <w:tcPr>
            <w:tcW w:w="811" w:type="pct"/>
          </w:tcPr>
          <w:p w:rsidR="00AB3A3C" w:rsidRPr="00B161C7" w:rsidRDefault="00AB3A3C" w:rsidP="00D35636">
            <w:pPr>
              <w:spacing w:after="0" w:line="240" w:lineRule="auto"/>
              <w:rPr>
                <w:rFonts w:ascii="Calibri" w:eastAsia="Calibri" w:hAnsi="Calibri" w:cs="Arial"/>
                <w:sz w:val="20"/>
                <w:szCs w:val="20"/>
              </w:rPr>
            </w:pPr>
            <w:r w:rsidRPr="00B161C7">
              <w:rPr>
                <w:rFonts w:ascii="Calibri" w:eastAsia="Calibri" w:hAnsi="Calibri" w:cs="Arial"/>
                <w:sz w:val="20"/>
                <w:szCs w:val="20"/>
              </w:rPr>
              <w:lastRenderedPageBreak/>
              <w:t xml:space="preserve">Psychosocial factors </w:t>
            </w:r>
          </w:p>
        </w:tc>
        <w:tc>
          <w:tcPr>
            <w:tcW w:w="4189" w:type="pct"/>
          </w:tcPr>
          <w:p w:rsidR="00AB3A3C" w:rsidRPr="00B161C7" w:rsidRDefault="00AB3A3C" w:rsidP="00D35636">
            <w:pPr>
              <w:spacing w:after="0" w:line="240" w:lineRule="auto"/>
              <w:rPr>
                <w:rFonts w:ascii="Calibri" w:eastAsia="Calibri" w:hAnsi="Calibri" w:cs="Arial"/>
                <w:sz w:val="20"/>
                <w:szCs w:val="20"/>
              </w:rPr>
            </w:pPr>
            <w:r w:rsidRPr="00B161C7">
              <w:rPr>
                <w:rFonts w:ascii="Calibri" w:eastAsia="Calibri" w:hAnsi="Calibri" w:cs="Arial"/>
                <w:sz w:val="20"/>
                <w:szCs w:val="20"/>
              </w:rPr>
              <w:t xml:space="preserve">Nine CPGs strongly recommended assessing psychosocial factors, including four LBP </w:t>
            </w:r>
            <w:r w:rsidRPr="005038FB">
              <w:rPr>
                <w:rFonts w:ascii="Calibri" w:eastAsia="Calibri" w:hAnsi="Calibri" w:cs="Arial"/>
                <w:noProof/>
                <w:sz w:val="20"/>
                <w:szCs w:val="20"/>
                <w:vertAlign w:val="superscript"/>
              </w:rPr>
              <w:t>35 37 38 40</w:t>
            </w:r>
            <w:r w:rsidRPr="00B161C7">
              <w:rPr>
                <w:rFonts w:ascii="Calibri" w:eastAsia="Calibri" w:hAnsi="Calibri" w:cs="Arial"/>
                <w:sz w:val="20"/>
                <w:szCs w:val="20"/>
              </w:rPr>
              <w:t xml:space="preserve">, two neck pain </w:t>
            </w:r>
            <w:r w:rsidRPr="005038FB">
              <w:rPr>
                <w:rFonts w:ascii="Calibri" w:eastAsia="Calibri" w:hAnsi="Calibri" w:cs="Arial"/>
                <w:noProof/>
                <w:sz w:val="20"/>
                <w:szCs w:val="20"/>
                <w:vertAlign w:val="superscript"/>
              </w:rPr>
              <w:t>33 34</w:t>
            </w:r>
            <w:r w:rsidRPr="00B161C7">
              <w:rPr>
                <w:rFonts w:ascii="Calibri" w:eastAsia="Calibri" w:hAnsi="Calibri" w:cs="Arial"/>
                <w:sz w:val="20"/>
                <w:szCs w:val="20"/>
              </w:rPr>
              <w:t xml:space="preserve">, two OA </w:t>
            </w:r>
            <w:r w:rsidRPr="005038FB">
              <w:rPr>
                <w:rFonts w:ascii="Calibri" w:eastAsia="Calibri" w:hAnsi="Calibri" w:cs="Arial"/>
                <w:noProof/>
                <w:sz w:val="20"/>
                <w:szCs w:val="20"/>
                <w:vertAlign w:val="superscript"/>
              </w:rPr>
              <w:t>36 45</w:t>
            </w:r>
            <w:r w:rsidRPr="00B161C7">
              <w:rPr>
                <w:rFonts w:ascii="Calibri" w:eastAsia="Calibri" w:hAnsi="Calibri" w:cs="Arial"/>
                <w:sz w:val="20"/>
                <w:szCs w:val="20"/>
              </w:rPr>
              <w:t xml:space="preserve"> and one rotator cuff disorders </w:t>
            </w:r>
            <w:r w:rsidRPr="005038FB">
              <w:rPr>
                <w:rFonts w:ascii="Calibri" w:eastAsia="Calibri" w:hAnsi="Calibri" w:cs="Arial"/>
                <w:noProof/>
                <w:sz w:val="20"/>
                <w:szCs w:val="20"/>
                <w:vertAlign w:val="superscript"/>
              </w:rPr>
              <w:t>41</w:t>
            </w:r>
            <w:r w:rsidRPr="00B161C7">
              <w:rPr>
                <w:rFonts w:ascii="Calibri" w:eastAsia="Calibri" w:hAnsi="Calibri" w:cs="Arial"/>
                <w:sz w:val="20"/>
                <w:szCs w:val="20"/>
              </w:rPr>
              <w:t xml:space="preserve"> CPGs. No CPGS recommended against assessing psychosocial factors. The two CPGs that did not address the assessment of psychosocial factors only made recommendations related to treatment, not assessment </w:t>
            </w:r>
            <w:r w:rsidRPr="005038FB">
              <w:rPr>
                <w:rFonts w:ascii="Calibri" w:eastAsia="Calibri" w:hAnsi="Calibri" w:cs="Arial"/>
                <w:noProof/>
                <w:sz w:val="20"/>
                <w:szCs w:val="20"/>
                <w:vertAlign w:val="superscript"/>
              </w:rPr>
              <w:t>42 58</w:t>
            </w:r>
            <w:r w:rsidRPr="00B161C7">
              <w:rPr>
                <w:rFonts w:ascii="Calibri" w:eastAsia="Calibri" w:hAnsi="Calibri" w:cs="Arial"/>
                <w:sz w:val="20"/>
                <w:szCs w:val="20"/>
              </w:rPr>
              <w:t>.</w:t>
            </w:r>
          </w:p>
          <w:p w:rsidR="00AB3A3C" w:rsidRPr="00B161C7" w:rsidRDefault="00AB3A3C" w:rsidP="00D35636">
            <w:pPr>
              <w:spacing w:after="0" w:line="240" w:lineRule="auto"/>
              <w:rPr>
                <w:rFonts w:ascii="Calibri" w:eastAsia="Calibri" w:hAnsi="Calibri" w:cs="Arial"/>
                <w:sz w:val="20"/>
                <w:szCs w:val="20"/>
              </w:rPr>
            </w:pPr>
          </w:p>
          <w:p w:rsidR="00AB3A3C" w:rsidRPr="00B161C7" w:rsidRDefault="00AB3A3C" w:rsidP="00D35636">
            <w:pPr>
              <w:spacing w:after="0" w:line="240" w:lineRule="auto"/>
              <w:rPr>
                <w:rFonts w:ascii="Calibri" w:eastAsia="Calibri" w:hAnsi="Calibri" w:cs="Arial"/>
                <w:sz w:val="20"/>
                <w:szCs w:val="20"/>
              </w:rPr>
            </w:pPr>
            <w:r w:rsidRPr="00B161C7">
              <w:rPr>
                <w:rFonts w:ascii="Calibri" w:eastAsia="Calibri" w:hAnsi="Calibri" w:cs="Arial"/>
                <w:sz w:val="20"/>
                <w:szCs w:val="20"/>
              </w:rPr>
              <w:t xml:space="preserve">Psychosocial factors described included “yellow flags”, mood and emotions (depression, anxiety), fear, </w:t>
            </w:r>
            <w:proofErr w:type="spellStart"/>
            <w:r w:rsidRPr="00B161C7">
              <w:rPr>
                <w:rFonts w:ascii="Calibri" w:eastAsia="Calibri" w:hAnsi="Calibri" w:cs="Arial"/>
                <w:sz w:val="20"/>
                <w:szCs w:val="20"/>
              </w:rPr>
              <w:t>kinesiophobia</w:t>
            </w:r>
            <w:proofErr w:type="spellEnd"/>
            <w:r w:rsidRPr="00B161C7">
              <w:rPr>
                <w:rFonts w:ascii="Calibri" w:eastAsia="Calibri" w:hAnsi="Calibri" w:cs="Arial"/>
                <w:sz w:val="20"/>
                <w:szCs w:val="20"/>
              </w:rPr>
              <w:t xml:space="preserve">, and recovery expectations. The LBP CPGs from NICE </w:t>
            </w:r>
            <w:r w:rsidRPr="005038FB">
              <w:rPr>
                <w:rFonts w:ascii="Calibri" w:eastAsia="Calibri" w:hAnsi="Calibri" w:cs="Arial"/>
                <w:noProof/>
                <w:sz w:val="20"/>
                <w:szCs w:val="20"/>
                <w:vertAlign w:val="superscript"/>
              </w:rPr>
              <w:t>35</w:t>
            </w:r>
            <w:r w:rsidRPr="00B161C7">
              <w:rPr>
                <w:rFonts w:ascii="Calibri" w:eastAsia="Calibri" w:hAnsi="Calibri" w:cs="Arial"/>
                <w:sz w:val="20"/>
                <w:szCs w:val="20"/>
              </w:rPr>
              <w:t xml:space="preserve"> and Belgium </w:t>
            </w:r>
            <w:r w:rsidRPr="005038FB">
              <w:rPr>
                <w:rFonts w:ascii="Calibri" w:eastAsia="Calibri" w:hAnsi="Calibri" w:cs="Arial"/>
                <w:noProof/>
                <w:sz w:val="20"/>
                <w:szCs w:val="20"/>
                <w:vertAlign w:val="superscript"/>
              </w:rPr>
              <w:t>38</w:t>
            </w:r>
            <w:r w:rsidRPr="00B161C7">
              <w:rPr>
                <w:rFonts w:ascii="Calibri" w:eastAsia="Calibri" w:hAnsi="Calibri" w:cs="Arial"/>
                <w:sz w:val="20"/>
                <w:szCs w:val="20"/>
              </w:rPr>
              <w:t xml:space="preserve"> (which was based largely on the NICE LBP CPG) integrate psychosocial factors into the assessment of modifiable prognostic risk factors. They suggested utilising the </w:t>
            </w:r>
            <w:proofErr w:type="spellStart"/>
            <w:r w:rsidRPr="00B161C7">
              <w:rPr>
                <w:rFonts w:ascii="Calibri" w:eastAsia="Calibri" w:hAnsi="Calibri" w:cs="Arial"/>
                <w:sz w:val="20"/>
                <w:szCs w:val="20"/>
              </w:rPr>
              <w:t>STarT</w:t>
            </w:r>
            <w:proofErr w:type="spellEnd"/>
            <w:r w:rsidRPr="00B161C7">
              <w:rPr>
                <w:rFonts w:ascii="Calibri" w:eastAsia="Calibri" w:hAnsi="Calibri" w:cs="Arial"/>
                <w:sz w:val="20"/>
                <w:szCs w:val="20"/>
              </w:rPr>
              <w:t xml:space="preserve"> Back or Orebro Musculoskeletal Screening tools to identify prognostic risk factors, including psychosocial factors, to assist in patient risk stratification.</w:t>
            </w:r>
          </w:p>
          <w:p w:rsidR="00AB3A3C" w:rsidRPr="00B161C7" w:rsidRDefault="00AB3A3C" w:rsidP="00D35636">
            <w:pPr>
              <w:spacing w:after="0" w:line="240" w:lineRule="auto"/>
              <w:rPr>
                <w:rFonts w:ascii="Calibri" w:eastAsia="Calibri" w:hAnsi="Calibri" w:cs="Arial"/>
                <w:sz w:val="20"/>
                <w:szCs w:val="20"/>
              </w:rPr>
            </w:pPr>
          </w:p>
          <w:p w:rsidR="00AB3A3C" w:rsidRPr="00B161C7" w:rsidRDefault="00AB3A3C" w:rsidP="00D35636">
            <w:pPr>
              <w:spacing w:after="0" w:line="240" w:lineRule="auto"/>
              <w:rPr>
                <w:rFonts w:ascii="Calibri" w:eastAsia="Calibri" w:hAnsi="Calibri" w:cs="Arial"/>
                <w:sz w:val="20"/>
                <w:szCs w:val="20"/>
                <w:highlight w:val="yellow"/>
              </w:rPr>
            </w:pPr>
            <w:r w:rsidRPr="00B161C7">
              <w:rPr>
                <w:rFonts w:ascii="Calibri" w:eastAsia="Calibri" w:hAnsi="Calibri" w:cs="Arial"/>
                <w:sz w:val="20"/>
                <w:szCs w:val="20"/>
                <w:highlight w:val="yellow"/>
              </w:rPr>
              <w:t xml:space="preserve">Consensus across MSK pain conditions: </w:t>
            </w:r>
          </w:p>
          <w:p w:rsidR="00AB3A3C" w:rsidRPr="00B161C7" w:rsidRDefault="00AB3A3C" w:rsidP="00AB3A3C">
            <w:pPr>
              <w:numPr>
                <w:ilvl w:val="0"/>
                <w:numId w:val="1"/>
              </w:numPr>
              <w:spacing w:after="0" w:line="240" w:lineRule="auto"/>
              <w:contextualSpacing/>
              <w:rPr>
                <w:rFonts w:ascii="Calibri" w:eastAsia="Calibri" w:hAnsi="Calibri" w:cs="Arial"/>
                <w:sz w:val="20"/>
                <w:szCs w:val="20"/>
              </w:rPr>
            </w:pPr>
            <w:r w:rsidRPr="00B161C7">
              <w:rPr>
                <w:rFonts w:ascii="Calibri" w:eastAsia="Calibri" w:hAnsi="Calibri" w:cs="Arial"/>
                <w:sz w:val="20"/>
                <w:szCs w:val="20"/>
                <w:highlight w:val="yellow"/>
              </w:rPr>
              <w:t>Psychosocial factors should be assessed</w:t>
            </w:r>
            <w:r w:rsidRPr="00B161C7">
              <w:rPr>
                <w:rFonts w:ascii="Calibri" w:eastAsia="Calibri" w:hAnsi="Calibri" w:cs="Arial"/>
                <w:sz w:val="20"/>
                <w:szCs w:val="20"/>
              </w:rPr>
              <w:t xml:space="preserve">. </w:t>
            </w:r>
          </w:p>
          <w:p w:rsidR="00AB3A3C" w:rsidRPr="00B161C7" w:rsidRDefault="00AB3A3C" w:rsidP="00D35636">
            <w:pPr>
              <w:spacing w:after="0" w:line="240" w:lineRule="auto"/>
              <w:rPr>
                <w:rFonts w:ascii="Calibri" w:eastAsia="Calibri" w:hAnsi="Calibri" w:cs="Arial"/>
                <w:sz w:val="20"/>
                <w:szCs w:val="20"/>
              </w:rPr>
            </w:pPr>
          </w:p>
        </w:tc>
      </w:tr>
      <w:tr w:rsidR="00AB3A3C" w:rsidRPr="00B161C7" w:rsidTr="00D35636">
        <w:tc>
          <w:tcPr>
            <w:tcW w:w="811" w:type="pct"/>
          </w:tcPr>
          <w:p w:rsidR="00AB3A3C" w:rsidRPr="00B161C7" w:rsidRDefault="00AB3A3C" w:rsidP="00D35636">
            <w:pPr>
              <w:spacing w:after="0" w:line="240" w:lineRule="auto"/>
              <w:rPr>
                <w:rFonts w:ascii="Calibri" w:eastAsia="Calibri" w:hAnsi="Calibri" w:cs="Arial"/>
                <w:sz w:val="20"/>
                <w:szCs w:val="20"/>
              </w:rPr>
            </w:pPr>
            <w:r w:rsidRPr="00B161C7">
              <w:rPr>
                <w:rFonts w:ascii="Calibri" w:eastAsia="Calibri" w:hAnsi="Calibri" w:cs="Arial"/>
                <w:sz w:val="20"/>
                <w:szCs w:val="20"/>
              </w:rPr>
              <w:t xml:space="preserve">Diagnostic work up: Radiological imaging </w:t>
            </w:r>
          </w:p>
        </w:tc>
        <w:tc>
          <w:tcPr>
            <w:tcW w:w="4189" w:type="pct"/>
          </w:tcPr>
          <w:p w:rsidR="00AB3A3C" w:rsidRPr="00B161C7" w:rsidRDefault="00AB3A3C" w:rsidP="00D35636">
            <w:pPr>
              <w:spacing w:after="0" w:line="240" w:lineRule="auto"/>
              <w:rPr>
                <w:rFonts w:ascii="Calibri" w:eastAsia="Calibri" w:hAnsi="Calibri" w:cs="Arial"/>
                <w:sz w:val="20"/>
                <w:szCs w:val="20"/>
              </w:rPr>
            </w:pPr>
            <w:r w:rsidRPr="00B161C7">
              <w:rPr>
                <w:rFonts w:ascii="Calibri" w:eastAsia="Calibri" w:hAnsi="Calibri" w:cs="Arial"/>
                <w:sz w:val="20"/>
                <w:szCs w:val="20"/>
              </w:rPr>
              <w:t xml:space="preserve">Six CPGs, including four for LBP </w:t>
            </w:r>
            <w:r w:rsidRPr="005038FB">
              <w:rPr>
                <w:rFonts w:ascii="Calibri" w:eastAsia="Calibri" w:hAnsi="Calibri" w:cs="Arial"/>
                <w:noProof/>
                <w:sz w:val="20"/>
                <w:szCs w:val="20"/>
                <w:vertAlign w:val="superscript"/>
              </w:rPr>
              <w:t>35 37 38 40</w:t>
            </w:r>
            <w:r w:rsidRPr="00B161C7">
              <w:rPr>
                <w:rFonts w:ascii="Calibri" w:eastAsia="Calibri" w:hAnsi="Calibri" w:cs="Arial"/>
                <w:sz w:val="20"/>
                <w:szCs w:val="20"/>
              </w:rPr>
              <w:t xml:space="preserve">, one for OA </w:t>
            </w:r>
            <w:r w:rsidRPr="005038FB">
              <w:rPr>
                <w:rFonts w:ascii="Calibri" w:eastAsia="Calibri" w:hAnsi="Calibri" w:cs="Arial"/>
                <w:noProof/>
                <w:sz w:val="20"/>
                <w:szCs w:val="20"/>
                <w:vertAlign w:val="superscript"/>
              </w:rPr>
              <w:t>45</w:t>
            </w:r>
            <w:r w:rsidRPr="00B161C7">
              <w:rPr>
                <w:rFonts w:ascii="Calibri" w:eastAsia="Calibri" w:hAnsi="Calibri" w:cs="Arial"/>
                <w:sz w:val="20"/>
                <w:szCs w:val="20"/>
              </w:rPr>
              <w:t xml:space="preserve">, and one for rotator cuff disorders </w:t>
            </w:r>
            <w:r w:rsidRPr="005038FB">
              <w:rPr>
                <w:rFonts w:ascii="Calibri" w:eastAsia="Calibri" w:hAnsi="Calibri" w:cs="Arial"/>
                <w:noProof/>
                <w:sz w:val="20"/>
                <w:szCs w:val="20"/>
                <w:vertAlign w:val="superscript"/>
              </w:rPr>
              <w:t>41</w:t>
            </w:r>
            <w:r w:rsidRPr="00B161C7">
              <w:rPr>
                <w:rFonts w:ascii="Calibri" w:eastAsia="Calibri" w:hAnsi="Calibri" w:cs="Arial"/>
                <w:sz w:val="20"/>
                <w:szCs w:val="20"/>
              </w:rPr>
              <w:t xml:space="preserve"> strongly discouraged routine use of radiological imaging. In the case of LBP, imaging is discouraged initially unless serious pathology is suspected. Radiological imaging can be considered for LBP with or without leg pain if it is likely to “change management”, for example epidural or spinal surgery </w:t>
            </w:r>
            <w:r w:rsidRPr="005038FB">
              <w:rPr>
                <w:rFonts w:ascii="Calibri" w:eastAsia="Calibri" w:hAnsi="Calibri" w:cs="Arial"/>
                <w:noProof/>
                <w:sz w:val="20"/>
                <w:szCs w:val="20"/>
                <w:vertAlign w:val="superscript"/>
              </w:rPr>
              <w:t>35 38</w:t>
            </w:r>
            <w:r w:rsidRPr="00B161C7">
              <w:rPr>
                <w:rFonts w:ascii="Calibri" w:eastAsia="Calibri" w:hAnsi="Calibri" w:cs="Arial"/>
                <w:sz w:val="20"/>
                <w:szCs w:val="20"/>
              </w:rPr>
              <w:t xml:space="preserve">, or if there has been a limited response to conservative care </w:t>
            </w:r>
            <w:r w:rsidRPr="005038FB">
              <w:rPr>
                <w:rFonts w:ascii="Calibri" w:eastAsia="Calibri" w:hAnsi="Calibri" w:cs="Arial"/>
                <w:noProof/>
                <w:sz w:val="20"/>
                <w:szCs w:val="20"/>
                <w:vertAlign w:val="superscript"/>
              </w:rPr>
              <w:t>37</w:t>
            </w:r>
            <w:r w:rsidRPr="00B161C7">
              <w:rPr>
                <w:rFonts w:ascii="Calibri" w:eastAsia="Calibri" w:hAnsi="Calibri" w:cs="Arial"/>
                <w:sz w:val="20"/>
                <w:szCs w:val="20"/>
              </w:rPr>
              <w:t xml:space="preserve">. The chiropractic CPG also recommended prudent use of imaging including post-trauma or in the case of worsening symptomatology, although differs from other CPGs by considering imaging if there is “suspicion of an underlying anatomical anomaly, such as spondylolisthesis, moderate to severe spondylosis” </w:t>
            </w:r>
            <w:r w:rsidRPr="005038FB">
              <w:rPr>
                <w:rFonts w:ascii="Calibri" w:eastAsia="Calibri" w:hAnsi="Calibri" w:cs="Arial"/>
                <w:noProof/>
                <w:sz w:val="20"/>
                <w:szCs w:val="20"/>
                <w:vertAlign w:val="superscript"/>
              </w:rPr>
              <w:t>37</w:t>
            </w:r>
            <w:r w:rsidRPr="00B161C7">
              <w:rPr>
                <w:rFonts w:ascii="Calibri" w:eastAsia="Calibri" w:hAnsi="Calibri" w:cs="Arial"/>
                <w:sz w:val="20"/>
                <w:szCs w:val="20"/>
              </w:rPr>
              <w:t xml:space="preserve">.  </w:t>
            </w:r>
          </w:p>
          <w:p w:rsidR="00AB3A3C" w:rsidRPr="00B161C7" w:rsidRDefault="00AB3A3C" w:rsidP="00D35636">
            <w:pPr>
              <w:spacing w:after="0" w:line="240" w:lineRule="auto"/>
              <w:rPr>
                <w:rFonts w:ascii="Calibri" w:eastAsia="Calibri" w:hAnsi="Calibri" w:cs="Arial"/>
                <w:sz w:val="20"/>
                <w:szCs w:val="20"/>
              </w:rPr>
            </w:pPr>
          </w:p>
          <w:p w:rsidR="00AB3A3C" w:rsidRPr="00B161C7" w:rsidRDefault="00AB3A3C" w:rsidP="00D35636">
            <w:pPr>
              <w:spacing w:after="0" w:line="240" w:lineRule="auto"/>
              <w:rPr>
                <w:rFonts w:ascii="Calibri" w:eastAsia="Calibri" w:hAnsi="Calibri" w:cs="Arial"/>
                <w:sz w:val="20"/>
                <w:szCs w:val="20"/>
              </w:rPr>
            </w:pPr>
            <w:r w:rsidRPr="00B161C7">
              <w:rPr>
                <w:rFonts w:ascii="Calibri" w:eastAsia="Calibri" w:hAnsi="Calibri" w:cs="Arial"/>
                <w:sz w:val="20"/>
                <w:szCs w:val="20"/>
              </w:rPr>
              <w:t xml:space="preserve">The NICE CPG encouraged clinical diagnosis of OA without imaging </w:t>
            </w:r>
            <w:r w:rsidRPr="005038FB">
              <w:rPr>
                <w:rFonts w:ascii="Calibri" w:eastAsia="Calibri" w:hAnsi="Calibri" w:cs="Arial"/>
                <w:noProof/>
                <w:sz w:val="20"/>
                <w:szCs w:val="20"/>
                <w:vertAlign w:val="superscript"/>
              </w:rPr>
              <w:t>45</w:t>
            </w:r>
            <w:r w:rsidRPr="00B161C7">
              <w:rPr>
                <w:rFonts w:ascii="Calibri" w:eastAsia="Calibri" w:hAnsi="Calibri" w:cs="Arial"/>
                <w:sz w:val="20"/>
                <w:szCs w:val="20"/>
              </w:rPr>
              <w:t xml:space="preserve">. The rotator cuff CPG recommended against imaging in the first 4-6 weeks in suspected rotator cuff syndrome, but suggested MRI and plain film x-ray if there is significant continuing limitation and pain and no response to an active treatment program after this time period </w:t>
            </w:r>
            <w:r w:rsidRPr="005038FB">
              <w:rPr>
                <w:rFonts w:ascii="Calibri" w:eastAsia="Calibri" w:hAnsi="Calibri" w:cs="Arial"/>
                <w:noProof/>
                <w:sz w:val="20"/>
                <w:szCs w:val="20"/>
                <w:vertAlign w:val="superscript"/>
              </w:rPr>
              <w:t>41</w:t>
            </w:r>
            <w:r w:rsidRPr="00B161C7">
              <w:rPr>
                <w:rFonts w:ascii="Calibri" w:eastAsia="Calibri" w:hAnsi="Calibri" w:cs="Arial"/>
                <w:sz w:val="20"/>
                <w:szCs w:val="20"/>
              </w:rPr>
              <w:t xml:space="preserve">. </w:t>
            </w:r>
          </w:p>
          <w:p w:rsidR="00AB3A3C" w:rsidRPr="00B161C7" w:rsidRDefault="00AB3A3C" w:rsidP="00D35636">
            <w:pPr>
              <w:spacing w:after="0" w:line="240" w:lineRule="auto"/>
              <w:rPr>
                <w:rFonts w:ascii="Calibri" w:eastAsia="Calibri" w:hAnsi="Calibri" w:cs="Arial"/>
                <w:sz w:val="20"/>
                <w:szCs w:val="20"/>
              </w:rPr>
            </w:pPr>
          </w:p>
          <w:p w:rsidR="00AB3A3C" w:rsidRPr="00B161C7" w:rsidRDefault="00AB3A3C" w:rsidP="00D35636">
            <w:pPr>
              <w:spacing w:after="0" w:line="240" w:lineRule="auto"/>
              <w:rPr>
                <w:rFonts w:ascii="Calibri" w:eastAsia="Calibri" w:hAnsi="Calibri" w:cs="Arial"/>
                <w:sz w:val="20"/>
                <w:szCs w:val="20"/>
                <w:highlight w:val="yellow"/>
              </w:rPr>
            </w:pPr>
            <w:r w:rsidRPr="00B161C7">
              <w:rPr>
                <w:rFonts w:ascii="Calibri" w:eastAsia="Calibri" w:hAnsi="Calibri" w:cs="Arial"/>
                <w:sz w:val="20"/>
                <w:szCs w:val="20"/>
                <w:highlight w:val="yellow"/>
              </w:rPr>
              <w:t xml:space="preserve">Consensus across MSK pain conditions: </w:t>
            </w:r>
          </w:p>
          <w:p w:rsidR="00AB3A3C" w:rsidRPr="00B161C7" w:rsidRDefault="00AB3A3C" w:rsidP="00AB3A3C">
            <w:pPr>
              <w:numPr>
                <w:ilvl w:val="0"/>
                <w:numId w:val="1"/>
              </w:numPr>
              <w:spacing w:after="0" w:line="240" w:lineRule="auto"/>
              <w:contextualSpacing/>
              <w:rPr>
                <w:rFonts w:ascii="Calibri" w:eastAsia="Calibri" w:hAnsi="Calibri" w:cs="Arial"/>
                <w:sz w:val="20"/>
                <w:szCs w:val="20"/>
                <w:highlight w:val="yellow"/>
              </w:rPr>
            </w:pPr>
            <w:r w:rsidRPr="00B161C7">
              <w:rPr>
                <w:rFonts w:ascii="Calibri" w:eastAsia="Calibri" w:hAnsi="Calibri" w:cs="Arial"/>
                <w:sz w:val="20"/>
                <w:szCs w:val="20"/>
                <w:highlight w:val="yellow"/>
              </w:rPr>
              <w:t>Radiological imaging is discouraged unless:</w:t>
            </w:r>
          </w:p>
          <w:p w:rsidR="00AB3A3C" w:rsidRPr="00B161C7" w:rsidRDefault="00AB3A3C" w:rsidP="00AB3A3C">
            <w:pPr>
              <w:numPr>
                <w:ilvl w:val="0"/>
                <w:numId w:val="5"/>
              </w:numPr>
              <w:spacing w:after="0" w:line="240" w:lineRule="auto"/>
              <w:contextualSpacing/>
              <w:rPr>
                <w:rFonts w:ascii="Calibri" w:eastAsia="Calibri" w:hAnsi="Calibri" w:cs="Arial"/>
                <w:sz w:val="20"/>
                <w:szCs w:val="20"/>
                <w:highlight w:val="yellow"/>
              </w:rPr>
            </w:pPr>
            <w:r w:rsidRPr="00B161C7">
              <w:rPr>
                <w:rFonts w:ascii="Calibri" w:eastAsia="Calibri" w:hAnsi="Calibri" w:cs="Arial"/>
                <w:sz w:val="20"/>
                <w:szCs w:val="20"/>
                <w:highlight w:val="yellow"/>
              </w:rPr>
              <w:t>serious pathology is suspected</w:t>
            </w:r>
          </w:p>
          <w:p w:rsidR="00AB3A3C" w:rsidRPr="00B161C7" w:rsidRDefault="00AB3A3C" w:rsidP="00AB3A3C">
            <w:pPr>
              <w:numPr>
                <w:ilvl w:val="0"/>
                <w:numId w:val="5"/>
              </w:numPr>
              <w:spacing w:after="0" w:line="240" w:lineRule="auto"/>
              <w:contextualSpacing/>
              <w:rPr>
                <w:rFonts w:ascii="Calibri" w:eastAsia="Calibri" w:hAnsi="Calibri" w:cs="Arial"/>
                <w:sz w:val="20"/>
                <w:szCs w:val="20"/>
                <w:highlight w:val="yellow"/>
              </w:rPr>
            </w:pPr>
            <w:r w:rsidRPr="00B161C7">
              <w:rPr>
                <w:rFonts w:ascii="Calibri" w:eastAsia="Calibri" w:hAnsi="Calibri" w:cs="Arial"/>
                <w:sz w:val="20"/>
                <w:szCs w:val="20"/>
                <w:highlight w:val="yellow"/>
              </w:rPr>
              <w:t xml:space="preserve">there has been an unsatisfactory response to conservative care or unexplained progression of signs and symptoms or, </w:t>
            </w:r>
          </w:p>
          <w:p w:rsidR="00AB3A3C" w:rsidRPr="00B161C7" w:rsidRDefault="00AB3A3C" w:rsidP="00AB3A3C">
            <w:pPr>
              <w:numPr>
                <w:ilvl w:val="0"/>
                <w:numId w:val="5"/>
              </w:numPr>
              <w:spacing w:after="0" w:line="240" w:lineRule="auto"/>
              <w:contextualSpacing/>
              <w:rPr>
                <w:rFonts w:ascii="Calibri" w:eastAsia="Calibri" w:hAnsi="Calibri" w:cs="Arial"/>
                <w:sz w:val="20"/>
                <w:szCs w:val="20"/>
                <w:highlight w:val="yellow"/>
              </w:rPr>
            </w:pPr>
            <w:proofErr w:type="gramStart"/>
            <w:r w:rsidRPr="00B161C7">
              <w:rPr>
                <w:rFonts w:ascii="Calibri" w:eastAsia="Calibri" w:hAnsi="Calibri" w:cs="Arial"/>
                <w:sz w:val="20"/>
                <w:szCs w:val="20"/>
                <w:highlight w:val="yellow"/>
              </w:rPr>
              <w:t>it</w:t>
            </w:r>
            <w:proofErr w:type="gramEnd"/>
            <w:r w:rsidRPr="00B161C7">
              <w:rPr>
                <w:rFonts w:ascii="Calibri" w:eastAsia="Calibri" w:hAnsi="Calibri" w:cs="Arial"/>
                <w:sz w:val="20"/>
                <w:szCs w:val="20"/>
                <w:highlight w:val="yellow"/>
              </w:rPr>
              <w:t xml:space="preserve"> is likely to change management.</w:t>
            </w:r>
          </w:p>
          <w:p w:rsidR="00AB3A3C" w:rsidRPr="00B161C7" w:rsidRDefault="00AB3A3C" w:rsidP="00D35636">
            <w:pPr>
              <w:spacing w:after="0" w:line="240" w:lineRule="auto"/>
              <w:rPr>
                <w:rFonts w:ascii="Calibri" w:eastAsia="Calibri" w:hAnsi="Calibri" w:cs="Arial"/>
                <w:sz w:val="20"/>
                <w:szCs w:val="20"/>
              </w:rPr>
            </w:pPr>
          </w:p>
        </w:tc>
      </w:tr>
      <w:tr w:rsidR="00AB3A3C" w:rsidRPr="00B161C7" w:rsidTr="00D35636">
        <w:tc>
          <w:tcPr>
            <w:tcW w:w="811" w:type="pct"/>
          </w:tcPr>
          <w:p w:rsidR="00AB3A3C" w:rsidRPr="00B161C7" w:rsidRDefault="00AB3A3C" w:rsidP="00D35636">
            <w:pPr>
              <w:spacing w:after="0" w:line="240" w:lineRule="auto"/>
              <w:rPr>
                <w:rFonts w:ascii="Calibri" w:eastAsia="Calibri" w:hAnsi="Calibri" w:cs="Arial"/>
                <w:sz w:val="20"/>
                <w:szCs w:val="20"/>
              </w:rPr>
            </w:pPr>
            <w:r w:rsidRPr="00B161C7">
              <w:rPr>
                <w:rFonts w:ascii="Calibri" w:eastAsia="Calibri" w:hAnsi="Calibri" w:cs="Arial"/>
                <w:sz w:val="20"/>
                <w:szCs w:val="20"/>
              </w:rPr>
              <w:t>Physical Assessment/Examination</w:t>
            </w:r>
          </w:p>
        </w:tc>
        <w:tc>
          <w:tcPr>
            <w:tcW w:w="4189" w:type="pct"/>
          </w:tcPr>
          <w:p w:rsidR="00AB3A3C" w:rsidRPr="00B161C7" w:rsidRDefault="00AB3A3C" w:rsidP="00D35636">
            <w:pPr>
              <w:spacing w:after="0" w:line="240" w:lineRule="auto"/>
              <w:rPr>
                <w:rFonts w:ascii="Calibri" w:eastAsia="Calibri" w:hAnsi="Calibri" w:cs="Arial"/>
                <w:sz w:val="20"/>
                <w:szCs w:val="20"/>
              </w:rPr>
            </w:pPr>
            <w:r w:rsidRPr="00B161C7">
              <w:rPr>
                <w:rFonts w:ascii="Calibri" w:eastAsia="Calibri" w:hAnsi="Calibri" w:cs="Arial"/>
                <w:sz w:val="20"/>
                <w:szCs w:val="20"/>
              </w:rPr>
              <w:t xml:space="preserve">Seven CPGs described or recommended physical examination of MSK pain conditions. Two CPGs for OA recommended clinical examination including “mobility; strength; joint alignment; proprioception and posture” </w:t>
            </w:r>
            <w:r w:rsidRPr="005038FB">
              <w:rPr>
                <w:rFonts w:ascii="Calibri" w:eastAsia="Calibri" w:hAnsi="Calibri" w:cs="Arial"/>
                <w:noProof/>
                <w:sz w:val="20"/>
                <w:szCs w:val="20"/>
                <w:vertAlign w:val="superscript"/>
              </w:rPr>
              <w:t>36</w:t>
            </w:r>
            <w:r w:rsidRPr="00B161C7">
              <w:rPr>
                <w:rFonts w:ascii="Calibri" w:eastAsia="Calibri" w:hAnsi="Calibri" w:cs="Arial"/>
                <w:sz w:val="20"/>
                <w:szCs w:val="20"/>
              </w:rPr>
              <w:t xml:space="preserve">. Alongside clinical history, the NICE CPG described examination as the most important feature of diagnosing OA </w:t>
            </w:r>
            <w:r w:rsidRPr="005038FB">
              <w:rPr>
                <w:rFonts w:ascii="Calibri" w:eastAsia="Calibri" w:hAnsi="Calibri" w:cs="Arial"/>
                <w:noProof/>
                <w:sz w:val="20"/>
                <w:szCs w:val="20"/>
                <w:vertAlign w:val="superscript"/>
              </w:rPr>
              <w:t>45</w:t>
            </w:r>
            <w:r w:rsidRPr="00B161C7">
              <w:rPr>
                <w:rFonts w:ascii="Calibri" w:eastAsia="Calibri" w:hAnsi="Calibri" w:cs="Arial"/>
                <w:sz w:val="20"/>
                <w:szCs w:val="20"/>
              </w:rPr>
              <w:t xml:space="preserve">.  Similarly a CPG for rotator cuff syndrome recommended physical assessment including “active and passive range of motion; resisted (isometric) strength testing; and evaluation of the cervical and thoracic spine (as indicated)” </w:t>
            </w:r>
            <w:r w:rsidRPr="005038FB">
              <w:rPr>
                <w:rFonts w:ascii="Calibri" w:eastAsia="Calibri" w:hAnsi="Calibri" w:cs="Arial"/>
                <w:noProof/>
                <w:sz w:val="20"/>
                <w:szCs w:val="20"/>
                <w:vertAlign w:val="superscript"/>
              </w:rPr>
              <w:t>41</w:t>
            </w:r>
            <w:r w:rsidRPr="00B161C7">
              <w:rPr>
                <w:rFonts w:ascii="Calibri" w:eastAsia="Calibri" w:hAnsi="Calibri" w:cs="Arial"/>
                <w:sz w:val="20"/>
                <w:szCs w:val="20"/>
              </w:rPr>
              <w:t>.</w:t>
            </w:r>
          </w:p>
          <w:p w:rsidR="00AB3A3C" w:rsidRPr="00B161C7" w:rsidRDefault="00AB3A3C" w:rsidP="00D35636">
            <w:pPr>
              <w:spacing w:after="0" w:line="240" w:lineRule="auto"/>
              <w:rPr>
                <w:rFonts w:ascii="Calibri" w:eastAsia="Calibri" w:hAnsi="Calibri" w:cs="Arial"/>
                <w:sz w:val="20"/>
                <w:szCs w:val="20"/>
              </w:rPr>
            </w:pPr>
          </w:p>
          <w:p w:rsidR="00AB3A3C" w:rsidRPr="00B161C7" w:rsidRDefault="00AB3A3C" w:rsidP="00D35636">
            <w:pPr>
              <w:spacing w:after="0" w:line="240" w:lineRule="auto"/>
              <w:rPr>
                <w:rFonts w:ascii="Calibri" w:eastAsia="Calibri" w:hAnsi="Calibri" w:cs="Arial"/>
                <w:sz w:val="20"/>
                <w:szCs w:val="20"/>
              </w:rPr>
            </w:pPr>
            <w:r w:rsidRPr="00B161C7">
              <w:rPr>
                <w:rFonts w:ascii="Calibri" w:eastAsia="Calibri" w:hAnsi="Calibri" w:cs="Arial"/>
                <w:sz w:val="20"/>
                <w:szCs w:val="20"/>
              </w:rPr>
              <w:t xml:space="preserve">One CPG for neck pain emphasises neurological screening in order to classify neck pain disorders into grades I-III </w:t>
            </w:r>
            <w:r w:rsidRPr="005038FB">
              <w:rPr>
                <w:rFonts w:ascii="Calibri" w:eastAsia="Calibri" w:hAnsi="Calibri" w:cs="Arial"/>
                <w:noProof/>
                <w:sz w:val="20"/>
                <w:szCs w:val="20"/>
                <w:vertAlign w:val="superscript"/>
              </w:rPr>
              <w:t>34</w:t>
            </w:r>
            <w:r w:rsidRPr="00B161C7">
              <w:rPr>
                <w:rFonts w:ascii="Calibri" w:eastAsia="Calibri" w:hAnsi="Calibri" w:cs="Arial"/>
                <w:sz w:val="20"/>
                <w:szCs w:val="20"/>
              </w:rPr>
              <w:t xml:space="preserve">. Similarly, LBP physical assessments emphasise testing of neurological function in order to differentiate radicular pain </w:t>
            </w:r>
            <w:r w:rsidRPr="005038FB">
              <w:rPr>
                <w:rFonts w:ascii="Calibri" w:eastAsia="Calibri" w:hAnsi="Calibri" w:cs="Arial"/>
                <w:noProof/>
                <w:sz w:val="20"/>
                <w:szCs w:val="20"/>
                <w:vertAlign w:val="superscript"/>
              </w:rPr>
              <w:t>37 38</w:t>
            </w:r>
            <w:r w:rsidRPr="00B161C7">
              <w:rPr>
                <w:rFonts w:ascii="Calibri" w:eastAsia="Calibri" w:hAnsi="Calibri" w:cs="Arial"/>
                <w:sz w:val="20"/>
                <w:szCs w:val="20"/>
              </w:rPr>
              <w:t xml:space="preserve">. The lack of empirical support for physical assessments for LBP versus patient expectations regarding examination were noted by NICE; “the repercussions of not performing an examination would lead to dissatisfaction and unwarranted demand for tests or further referrals </w:t>
            </w:r>
            <w:r w:rsidRPr="005038FB">
              <w:rPr>
                <w:rFonts w:ascii="Calibri" w:eastAsia="Calibri" w:hAnsi="Calibri" w:cs="Arial"/>
                <w:noProof/>
                <w:sz w:val="20"/>
                <w:szCs w:val="20"/>
                <w:vertAlign w:val="superscript"/>
              </w:rPr>
              <w:t>35</w:t>
            </w:r>
            <w:r w:rsidRPr="00B161C7">
              <w:rPr>
                <w:rFonts w:ascii="Calibri" w:eastAsia="Calibri" w:hAnsi="Calibri" w:cs="Arial"/>
                <w:sz w:val="20"/>
                <w:szCs w:val="20"/>
              </w:rPr>
              <w:t xml:space="preserve">. </w:t>
            </w:r>
          </w:p>
          <w:p w:rsidR="00AB3A3C" w:rsidRPr="00B161C7" w:rsidRDefault="00AB3A3C" w:rsidP="00D35636">
            <w:pPr>
              <w:spacing w:after="0" w:line="240" w:lineRule="auto"/>
              <w:rPr>
                <w:rFonts w:ascii="Calibri" w:eastAsia="Calibri" w:hAnsi="Calibri" w:cs="Arial"/>
                <w:sz w:val="20"/>
                <w:szCs w:val="20"/>
              </w:rPr>
            </w:pPr>
          </w:p>
          <w:p w:rsidR="00AB3A3C" w:rsidRPr="00B161C7" w:rsidRDefault="00AB3A3C" w:rsidP="00D35636">
            <w:pPr>
              <w:spacing w:after="0" w:line="240" w:lineRule="auto"/>
              <w:rPr>
                <w:rFonts w:ascii="Calibri" w:eastAsia="Calibri" w:hAnsi="Calibri" w:cs="Arial"/>
                <w:sz w:val="20"/>
                <w:szCs w:val="20"/>
                <w:highlight w:val="yellow"/>
              </w:rPr>
            </w:pPr>
            <w:r w:rsidRPr="00B161C7">
              <w:rPr>
                <w:rFonts w:ascii="Calibri" w:eastAsia="Calibri" w:hAnsi="Calibri" w:cs="Arial"/>
                <w:sz w:val="20"/>
                <w:szCs w:val="20"/>
                <w:highlight w:val="yellow"/>
              </w:rPr>
              <w:t xml:space="preserve">Consensus across MSK pain conditions: </w:t>
            </w:r>
          </w:p>
          <w:p w:rsidR="00AB3A3C" w:rsidRPr="00B161C7" w:rsidRDefault="00AB3A3C" w:rsidP="00AB3A3C">
            <w:pPr>
              <w:numPr>
                <w:ilvl w:val="0"/>
                <w:numId w:val="1"/>
              </w:numPr>
              <w:spacing w:after="0" w:line="240" w:lineRule="auto"/>
              <w:contextualSpacing/>
              <w:rPr>
                <w:rFonts w:ascii="Calibri" w:eastAsia="Calibri" w:hAnsi="Calibri" w:cs="Arial"/>
                <w:sz w:val="20"/>
                <w:szCs w:val="20"/>
                <w:highlight w:val="yellow"/>
              </w:rPr>
            </w:pPr>
            <w:r w:rsidRPr="00B161C7">
              <w:rPr>
                <w:rFonts w:ascii="Calibri" w:eastAsia="Calibri" w:hAnsi="Calibri" w:cs="Arial"/>
                <w:sz w:val="20"/>
                <w:szCs w:val="20"/>
                <w:highlight w:val="yellow"/>
              </w:rPr>
              <w:t xml:space="preserve">Undertake a physical examination, which could include neurological screening tests, assessment of mobility, and/or muscle strength.  </w:t>
            </w:r>
          </w:p>
          <w:p w:rsidR="00AB3A3C" w:rsidRPr="00B161C7" w:rsidRDefault="00AB3A3C" w:rsidP="00D35636">
            <w:pPr>
              <w:spacing w:after="0" w:line="240" w:lineRule="auto"/>
              <w:ind w:left="360"/>
              <w:contextualSpacing/>
              <w:rPr>
                <w:rFonts w:ascii="Calibri" w:eastAsia="Calibri" w:hAnsi="Calibri" w:cs="Arial"/>
                <w:sz w:val="20"/>
                <w:szCs w:val="20"/>
              </w:rPr>
            </w:pPr>
            <w:r w:rsidRPr="00B161C7">
              <w:rPr>
                <w:rFonts w:ascii="Calibri" w:eastAsia="Calibri" w:hAnsi="Calibri" w:cs="Arial"/>
                <w:sz w:val="20"/>
                <w:szCs w:val="20"/>
              </w:rPr>
              <w:t xml:space="preserve">  </w:t>
            </w:r>
          </w:p>
          <w:p w:rsidR="00AB3A3C" w:rsidRPr="00B161C7" w:rsidRDefault="00AB3A3C" w:rsidP="00D35636">
            <w:pPr>
              <w:spacing w:after="0" w:line="240" w:lineRule="auto"/>
              <w:rPr>
                <w:rFonts w:ascii="Calibri" w:eastAsia="Calibri" w:hAnsi="Calibri" w:cs="Arial"/>
                <w:sz w:val="20"/>
                <w:szCs w:val="20"/>
              </w:rPr>
            </w:pPr>
          </w:p>
        </w:tc>
      </w:tr>
      <w:tr w:rsidR="00AB3A3C" w:rsidRPr="00B161C7" w:rsidTr="00D35636">
        <w:tc>
          <w:tcPr>
            <w:tcW w:w="811" w:type="pct"/>
          </w:tcPr>
          <w:p w:rsidR="00AB3A3C" w:rsidRPr="00B161C7" w:rsidRDefault="00AB3A3C" w:rsidP="00D35636">
            <w:pPr>
              <w:spacing w:after="0" w:line="240" w:lineRule="auto"/>
              <w:rPr>
                <w:rFonts w:ascii="Calibri" w:eastAsia="Calibri" w:hAnsi="Calibri" w:cs="Arial"/>
                <w:sz w:val="20"/>
                <w:szCs w:val="20"/>
              </w:rPr>
            </w:pPr>
            <w:r w:rsidRPr="00B161C7">
              <w:rPr>
                <w:rFonts w:ascii="Calibri" w:eastAsia="Calibri" w:hAnsi="Calibri" w:cs="Arial"/>
                <w:sz w:val="20"/>
                <w:szCs w:val="20"/>
              </w:rPr>
              <w:lastRenderedPageBreak/>
              <w:t xml:space="preserve">Evaluation/Re-evaluation and measurement </w:t>
            </w:r>
          </w:p>
        </w:tc>
        <w:tc>
          <w:tcPr>
            <w:tcW w:w="4189" w:type="pct"/>
          </w:tcPr>
          <w:p w:rsidR="00AB3A3C" w:rsidRPr="00B161C7" w:rsidRDefault="00AB3A3C" w:rsidP="00D35636">
            <w:pPr>
              <w:spacing w:after="0" w:line="240" w:lineRule="auto"/>
              <w:rPr>
                <w:rFonts w:ascii="Calibri" w:eastAsia="Calibri" w:hAnsi="Calibri" w:cs="Arial"/>
                <w:sz w:val="20"/>
                <w:szCs w:val="20"/>
              </w:rPr>
            </w:pPr>
            <w:r w:rsidRPr="00B161C7">
              <w:rPr>
                <w:rFonts w:ascii="Calibri" w:eastAsia="Calibri" w:hAnsi="Calibri" w:cs="Arial"/>
                <w:sz w:val="20"/>
                <w:szCs w:val="20"/>
              </w:rPr>
              <w:t xml:space="preserve">Five CPGs, including two for OA </w:t>
            </w:r>
            <w:r w:rsidRPr="005038FB">
              <w:rPr>
                <w:rFonts w:ascii="Calibri" w:eastAsia="Calibri" w:hAnsi="Calibri" w:cs="Arial"/>
                <w:noProof/>
                <w:sz w:val="20"/>
                <w:szCs w:val="20"/>
                <w:vertAlign w:val="superscript"/>
              </w:rPr>
              <w:t>36 45</w:t>
            </w:r>
            <w:r w:rsidRPr="00B161C7">
              <w:rPr>
                <w:rFonts w:ascii="Calibri" w:eastAsia="Calibri" w:hAnsi="Calibri" w:cs="Arial"/>
                <w:sz w:val="20"/>
                <w:szCs w:val="20"/>
              </w:rPr>
              <w:t xml:space="preserve"> and one apiece for LBP </w:t>
            </w:r>
            <w:r w:rsidRPr="005038FB">
              <w:rPr>
                <w:rFonts w:ascii="Calibri" w:eastAsia="Calibri" w:hAnsi="Calibri" w:cs="Arial"/>
                <w:noProof/>
                <w:sz w:val="20"/>
                <w:szCs w:val="20"/>
                <w:vertAlign w:val="superscript"/>
              </w:rPr>
              <w:t>37</w:t>
            </w:r>
            <w:r w:rsidRPr="00B161C7">
              <w:rPr>
                <w:rFonts w:ascii="Calibri" w:eastAsia="Calibri" w:hAnsi="Calibri" w:cs="Arial"/>
                <w:sz w:val="20"/>
                <w:szCs w:val="20"/>
              </w:rPr>
              <w:t xml:space="preserve">, NAD </w:t>
            </w:r>
            <w:r w:rsidRPr="005038FB">
              <w:rPr>
                <w:rFonts w:ascii="Calibri" w:eastAsia="Calibri" w:hAnsi="Calibri" w:cs="Arial"/>
                <w:noProof/>
                <w:sz w:val="20"/>
                <w:szCs w:val="20"/>
                <w:vertAlign w:val="superscript"/>
              </w:rPr>
              <w:t>34</w:t>
            </w:r>
            <w:r w:rsidRPr="00B161C7">
              <w:rPr>
                <w:rFonts w:ascii="Calibri" w:eastAsia="Calibri" w:hAnsi="Calibri" w:cs="Arial"/>
                <w:sz w:val="20"/>
                <w:szCs w:val="20"/>
              </w:rPr>
              <w:t xml:space="preserve">, and rotator cuff disorders </w:t>
            </w:r>
            <w:r w:rsidRPr="005038FB">
              <w:rPr>
                <w:rFonts w:ascii="Calibri" w:eastAsia="Calibri" w:hAnsi="Calibri" w:cs="Arial"/>
                <w:noProof/>
                <w:sz w:val="20"/>
                <w:szCs w:val="20"/>
                <w:vertAlign w:val="superscript"/>
              </w:rPr>
              <w:t>41</w:t>
            </w:r>
            <w:r w:rsidRPr="00B161C7">
              <w:rPr>
                <w:rFonts w:ascii="Calibri" w:eastAsia="Calibri" w:hAnsi="Calibri" w:cs="Arial"/>
                <w:sz w:val="20"/>
                <w:szCs w:val="20"/>
              </w:rPr>
              <w:t xml:space="preserve">, provided ‘should do’ recommendations for re-evaluation and measurement of patient progress. The </w:t>
            </w:r>
            <w:proofErr w:type="spellStart"/>
            <w:r w:rsidRPr="00B161C7">
              <w:rPr>
                <w:rFonts w:ascii="Calibri" w:eastAsia="Calibri" w:hAnsi="Calibri" w:cs="Arial"/>
                <w:sz w:val="20"/>
                <w:szCs w:val="20"/>
              </w:rPr>
              <w:t>OPTIMa</w:t>
            </w:r>
            <w:proofErr w:type="spellEnd"/>
            <w:r w:rsidRPr="00B161C7">
              <w:rPr>
                <w:rFonts w:ascii="Calibri" w:eastAsia="Calibri" w:hAnsi="Calibri" w:cs="Arial"/>
                <w:sz w:val="20"/>
                <w:szCs w:val="20"/>
              </w:rPr>
              <w:t xml:space="preserve"> NAD CPG recommended using a seven-point self-rated patient recovery question </w:t>
            </w:r>
            <w:r w:rsidRPr="005038FB">
              <w:rPr>
                <w:rFonts w:ascii="Calibri" w:eastAsia="Calibri" w:hAnsi="Calibri" w:cs="Arial"/>
                <w:noProof/>
                <w:sz w:val="20"/>
                <w:szCs w:val="20"/>
                <w:vertAlign w:val="superscript"/>
              </w:rPr>
              <w:t>34</w:t>
            </w:r>
            <w:r w:rsidRPr="00B161C7">
              <w:rPr>
                <w:rFonts w:ascii="Calibri" w:eastAsia="Calibri" w:hAnsi="Calibri" w:cs="Arial"/>
                <w:sz w:val="20"/>
                <w:szCs w:val="20"/>
              </w:rPr>
              <w:t xml:space="preserve">. Other CPGs recommend evaluating pain intensity </w:t>
            </w:r>
            <w:r w:rsidRPr="005038FB">
              <w:rPr>
                <w:rFonts w:ascii="Calibri" w:eastAsia="Calibri" w:hAnsi="Calibri" w:cs="Arial"/>
                <w:noProof/>
                <w:sz w:val="20"/>
                <w:szCs w:val="20"/>
                <w:vertAlign w:val="superscript"/>
              </w:rPr>
              <w:t>37</w:t>
            </w:r>
            <w:r w:rsidRPr="00B161C7">
              <w:rPr>
                <w:rFonts w:ascii="Calibri" w:eastAsia="Calibri" w:hAnsi="Calibri" w:cs="Arial"/>
                <w:sz w:val="20"/>
                <w:szCs w:val="20"/>
              </w:rPr>
              <w:t xml:space="preserve">, functional capacity </w:t>
            </w:r>
            <w:r w:rsidRPr="005038FB">
              <w:rPr>
                <w:rFonts w:ascii="Calibri" w:eastAsia="Calibri" w:hAnsi="Calibri" w:cs="Arial"/>
                <w:noProof/>
                <w:sz w:val="20"/>
                <w:szCs w:val="20"/>
                <w:vertAlign w:val="superscript"/>
              </w:rPr>
              <w:t>37 41</w:t>
            </w:r>
            <w:r w:rsidRPr="00B161C7">
              <w:rPr>
                <w:rFonts w:ascii="Calibri" w:eastAsia="Calibri" w:hAnsi="Calibri" w:cs="Arial"/>
                <w:sz w:val="20"/>
                <w:szCs w:val="20"/>
              </w:rPr>
              <w:t xml:space="preserve">, quality of life </w:t>
            </w:r>
            <w:r w:rsidRPr="005038FB">
              <w:rPr>
                <w:rFonts w:ascii="Calibri" w:eastAsia="Calibri" w:hAnsi="Calibri" w:cs="Arial"/>
                <w:noProof/>
                <w:sz w:val="20"/>
                <w:szCs w:val="20"/>
                <w:vertAlign w:val="superscript"/>
              </w:rPr>
              <w:t>45</w:t>
            </w:r>
            <w:r w:rsidRPr="00B161C7">
              <w:rPr>
                <w:rFonts w:ascii="Calibri" w:eastAsia="Calibri" w:hAnsi="Calibri" w:cs="Arial"/>
                <w:sz w:val="20"/>
                <w:szCs w:val="20"/>
              </w:rPr>
              <w:t xml:space="preserve"> or “evaluation” </w:t>
            </w:r>
            <w:r w:rsidRPr="005038FB">
              <w:rPr>
                <w:rFonts w:ascii="Calibri" w:eastAsia="Calibri" w:hAnsi="Calibri" w:cs="Arial"/>
                <w:noProof/>
                <w:sz w:val="20"/>
                <w:szCs w:val="20"/>
                <w:vertAlign w:val="superscript"/>
              </w:rPr>
              <w:t>36</w:t>
            </w:r>
            <w:r w:rsidRPr="00B161C7">
              <w:rPr>
                <w:rFonts w:ascii="Calibri" w:eastAsia="Calibri" w:hAnsi="Calibri" w:cs="Arial"/>
                <w:sz w:val="20"/>
                <w:szCs w:val="20"/>
              </w:rPr>
              <w:t xml:space="preserve">. </w:t>
            </w:r>
          </w:p>
          <w:p w:rsidR="00AB3A3C" w:rsidRPr="00B161C7" w:rsidRDefault="00AB3A3C" w:rsidP="00D35636">
            <w:pPr>
              <w:spacing w:after="0" w:line="240" w:lineRule="auto"/>
              <w:rPr>
                <w:rFonts w:ascii="Calibri" w:eastAsia="Calibri" w:hAnsi="Calibri" w:cs="Arial"/>
                <w:sz w:val="20"/>
                <w:szCs w:val="20"/>
              </w:rPr>
            </w:pPr>
          </w:p>
          <w:p w:rsidR="00AB3A3C" w:rsidRPr="00B161C7" w:rsidRDefault="00AB3A3C" w:rsidP="00D35636">
            <w:pPr>
              <w:spacing w:after="0" w:line="240" w:lineRule="auto"/>
              <w:rPr>
                <w:rFonts w:ascii="Calibri" w:eastAsia="Calibri" w:hAnsi="Calibri" w:cs="Arial"/>
                <w:sz w:val="20"/>
                <w:szCs w:val="20"/>
                <w:highlight w:val="yellow"/>
              </w:rPr>
            </w:pPr>
            <w:r w:rsidRPr="00B161C7">
              <w:rPr>
                <w:rFonts w:ascii="Calibri" w:eastAsia="Calibri" w:hAnsi="Calibri" w:cs="Arial"/>
                <w:sz w:val="20"/>
                <w:szCs w:val="20"/>
                <w:highlight w:val="yellow"/>
              </w:rPr>
              <w:t xml:space="preserve">Consensus across MSK pain conditions: </w:t>
            </w:r>
          </w:p>
          <w:p w:rsidR="00AB3A3C" w:rsidRPr="00B161C7" w:rsidRDefault="00AB3A3C" w:rsidP="00AB3A3C">
            <w:pPr>
              <w:numPr>
                <w:ilvl w:val="0"/>
                <w:numId w:val="3"/>
              </w:numPr>
              <w:spacing w:after="0" w:line="240" w:lineRule="auto"/>
              <w:contextualSpacing/>
              <w:rPr>
                <w:rFonts w:ascii="Calibri" w:eastAsia="Calibri" w:hAnsi="Calibri" w:cs="Arial"/>
                <w:sz w:val="20"/>
                <w:szCs w:val="20"/>
              </w:rPr>
            </w:pPr>
            <w:r w:rsidRPr="00B161C7">
              <w:rPr>
                <w:rFonts w:ascii="Calibri" w:eastAsia="Calibri" w:hAnsi="Calibri" w:cs="Arial"/>
                <w:sz w:val="20"/>
                <w:szCs w:val="20"/>
                <w:highlight w:val="yellow"/>
              </w:rPr>
              <w:t>Patient progress should be evaluated including the use of outcome measures.</w:t>
            </w:r>
          </w:p>
          <w:p w:rsidR="00AB3A3C" w:rsidRPr="00B161C7" w:rsidRDefault="00AB3A3C" w:rsidP="00D35636">
            <w:pPr>
              <w:spacing w:after="0" w:line="240" w:lineRule="auto"/>
              <w:ind w:left="360"/>
              <w:contextualSpacing/>
              <w:rPr>
                <w:rFonts w:ascii="Calibri" w:eastAsia="Calibri" w:hAnsi="Calibri" w:cs="Arial"/>
                <w:sz w:val="20"/>
                <w:szCs w:val="20"/>
              </w:rPr>
            </w:pPr>
          </w:p>
        </w:tc>
      </w:tr>
      <w:tr w:rsidR="00AB3A3C" w:rsidRPr="00B161C7" w:rsidTr="00D35636">
        <w:tc>
          <w:tcPr>
            <w:tcW w:w="811" w:type="pct"/>
            <w:shd w:val="clear" w:color="auto" w:fill="D9D9D9"/>
          </w:tcPr>
          <w:p w:rsidR="00AB3A3C" w:rsidRPr="00B161C7" w:rsidRDefault="00AB3A3C" w:rsidP="00D35636">
            <w:pPr>
              <w:spacing w:after="0" w:line="240" w:lineRule="auto"/>
              <w:rPr>
                <w:rFonts w:ascii="Calibri" w:eastAsia="Calibri" w:hAnsi="Calibri" w:cs="Arial"/>
                <w:b/>
                <w:sz w:val="20"/>
                <w:szCs w:val="20"/>
              </w:rPr>
            </w:pPr>
            <w:r w:rsidRPr="00B161C7">
              <w:rPr>
                <w:rFonts w:ascii="Calibri" w:eastAsia="Calibri" w:hAnsi="Calibri" w:cs="Arial"/>
                <w:b/>
                <w:sz w:val="20"/>
                <w:szCs w:val="20"/>
              </w:rPr>
              <w:t>Management</w:t>
            </w:r>
          </w:p>
        </w:tc>
        <w:tc>
          <w:tcPr>
            <w:tcW w:w="4189" w:type="pct"/>
            <w:shd w:val="clear" w:color="auto" w:fill="D9D9D9"/>
          </w:tcPr>
          <w:p w:rsidR="00AB3A3C" w:rsidRPr="00B161C7" w:rsidRDefault="00AB3A3C" w:rsidP="00D35636">
            <w:pPr>
              <w:spacing w:after="0" w:line="240" w:lineRule="auto"/>
              <w:rPr>
                <w:rFonts w:ascii="Calibri" w:eastAsia="Calibri" w:hAnsi="Calibri" w:cs="Arial"/>
                <w:b/>
                <w:sz w:val="20"/>
                <w:szCs w:val="20"/>
              </w:rPr>
            </w:pPr>
          </w:p>
        </w:tc>
      </w:tr>
      <w:tr w:rsidR="00AB3A3C" w:rsidRPr="00B161C7" w:rsidTr="00D35636">
        <w:tc>
          <w:tcPr>
            <w:tcW w:w="811" w:type="pct"/>
          </w:tcPr>
          <w:p w:rsidR="00AB3A3C" w:rsidRPr="00B161C7" w:rsidRDefault="00AB3A3C" w:rsidP="00D35636">
            <w:pPr>
              <w:spacing w:after="0" w:line="240" w:lineRule="auto"/>
              <w:rPr>
                <w:rFonts w:ascii="Calibri" w:eastAsia="Calibri" w:hAnsi="Calibri" w:cs="Arial"/>
                <w:sz w:val="20"/>
                <w:szCs w:val="20"/>
              </w:rPr>
            </w:pPr>
            <w:r w:rsidRPr="00B161C7">
              <w:rPr>
                <w:rFonts w:ascii="Calibri" w:eastAsia="Calibri" w:hAnsi="Calibri" w:cs="Arial"/>
                <w:sz w:val="20"/>
                <w:szCs w:val="20"/>
              </w:rPr>
              <w:t xml:space="preserve">Education/Information  </w:t>
            </w:r>
          </w:p>
        </w:tc>
        <w:tc>
          <w:tcPr>
            <w:tcW w:w="4189" w:type="pct"/>
          </w:tcPr>
          <w:p w:rsidR="00AB3A3C" w:rsidRPr="00B161C7" w:rsidRDefault="00AB3A3C" w:rsidP="00D35636">
            <w:pPr>
              <w:spacing w:after="0" w:line="240" w:lineRule="auto"/>
              <w:rPr>
                <w:rFonts w:ascii="Calibri" w:eastAsia="Calibri" w:hAnsi="Calibri" w:cs="Arial"/>
                <w:sz w:val="20"/>
                <w:szCs w:val="20"/>
              </w:rPr>
            </w:pPr>
            <w:r w:rsidRPr="00B161C7">
              <w:rPr>
                <w:rFonts w:ascii="Calibri" w:eastAsia="Calibri" w:hAnsi="Calibri" w:cs="Arial"/>
                <w:sz w:val="20"/>
                <w:szCs w:val="20"/>
              </w:rPr>
              <w:t xml:space="preserve">Ten CPGs strongly recommended providing education or information either to </w:t>
            </w:r>
            <w:proofErr w:type="spellStart"/>
            <w:r w:rsidRPr="00B161C7">
              <w:rPr>
                <w:rFonts w:ascii="Calibri" w:eastAsia="Calibri" w:hAnsi="Calibri" w:cs="Arial"/>
                <w:sz w:val="20"/>
                <w:szCs w:val="20"/>
              </w:rPr>
              <w:t>i</w:t>
            </w:r>
            <w:proofErr w:type="spellEnd"/>
            <w:r w:rsidRPr="00B161C7">
              <w:rPr>
                <w:rFonts w:ascii="Calibri" w:eastAsia="Calibri" w:hAnsi="Calibri" w:cs="Arial"/>
                <w:sz w:val="20"/>
                <w:szCs w:val="20"/>
              </w:rPr>
              <w:t xml:space="preserve">) encourage self-management and/or, ii) inform patients about the condition or management (e.g. prognosis, psychosocial aspects). </w:t>
            </w:r>
          </w:p>
          <w:p w:rsidR="00AB3A3C" w:rsidRPr="00B161C7" w:rsidRDefault="00AB3A3C" w:rsidP="00D35636">
            <w:pPr>
              <w:spacing w:after="0" w:line="240" w:lineRule="auto"/>
              <w:rPr>
                <w:rFonts w:ascii="Calibri" w:eastAsia="Calibri" w:hAnsi="Calibri" w:cs="Arial"/>
                <w:sz w:val="20"/>
                <w:szCs w:val="20"/>
              </w:rPr>
            </w:pPr>
          </w:p>
          <w:p w:rsidR="00AB3A3C" w:rsidRPr="00B161C7" w:rsidRDefault="00AB3A3C" w:rsidP="00D35636">
            <w:pPr>
              <w:spacing w:after="0" w:line="240" w:lineRule="auto"/>
              <w:rPr>
                <w:rFonts w:ascii="Calibri" w:eastAsia="Calibri" w:hAnsi="Calibri" w:cs="Arial"/>
                <w:sz w:val="20"/>
                <w:szCs w:val="20"/>
              </w:rPr>
            </w:pPr>
            <w:r w:rsidRPr="00B161C7">
              <w:rPr>
                <w:rFonts w:ascii="Calibri" w:eastAsia="Calibri" w:hAnsi="Calibri" w:cs="Arial"/>
                <w:sz w:val="20"/>
                <w:szCs w:val="20"/>
              </w:rPr>
              <w:t xml:space="preserve">CPG recommendations for neck pain education to promote self-management included advising patients to maintain activity and movement </w:t>
            </w:r>
            <w:r w:rsidRPr="005038FB">
              <w:rPr>
                <w:rFonts w:ascii="Calibri" w:eastAsia="Calibri" w:hAnsi="Calibri" w:cs="Arial"/>
                <w:noProof/>
                <w:sz w:val="20"/>
                <w:szCs w:val="20"/>
                <w:vertAlign w:val="superscript"/>
              </w:rPr>
              <w:t>33 34</w:t>
            </w:r>
            <w:r w:rsidRPr="00B161C7">
              <w:rPr>
                <w:rFonts w:ascii="Calibri" w:eastAsia="Calibri" w:hAnsi="Calibri" w:cs="Arial"/>
                <w:sz w:val="20"/>
                <w:szCs w:val="20"/>
              </w:rPr>
              <w:t xml:space="preserve">, “postural advice” (which is not specified) </w:t>
            </w:r>
            <w:r w:rsidRPr="005038FB">
              <w:rPr>
                <w:rFonts w:ascii="Calibri" w:eastAsia="Calibri" w:hAnsi="Calibri" w:cs="Arial"/>
                <w:noProof/>
                <w:sz w:val="20"/>
                <w:szCs w:val="20"/>
                <w:vertAlign w:val="superscript"/>
              </w:rPr>
              <w:t>33</w:t>
            </w:r>
            <w:r w:rsidRPr="00B161C7">
              <w:rPr>
                <w:rFonts w:ascii="Calibri" w:eastAsia="Calibri" w:hAnsi="Calibri" w:cs="Arial"/>
                <w:sz w:val="20"/>
                <w:szCs w:val="20"/>
              </w:rPr>
              <w:t xml:space="preserve"> and continuation of prescribed medication </w:t>
            </w:r>
            <w:r w:rsidRPr="005038FB">
              <w:rPr>
                <w:rFonts w:ascii="Calibri" w:eastAsia="Calibri" w:hAnsi="Calibri" w:cs="Arial"/>
                <w:noProof/>
                <w:sz w:val="20"/>
                <w:szCs w:val="20"/>
                <w:vertAlign w:val="superscript"/>
              </w:rPr>
              <w:t>33</w:t>
            </w:r>
            <w:r w:rsidRPr="00B161C7">
              <w:rPr>
                <w:rFonts w:ascii="Calibri" w:eastAsia="Calibri" w:hAnsi="Calibri" w:cs="Arial"/>
                <w:sz w:val="20"/>
                <w:szCs w:val="20"/>
              </w:rPr>
              <w:t xml:space="preserve">. Recommendations for condition-related information included educating patients about the benign and self-limiting nature of neck pain associated disorders </w:t>
            </w:r>
            <w:r w:rsidRPr="005038FB">
              <w:rPr>
                <w:rFonts w:ascii="Calibri" w:eastAsia="Calibri" w:hAnsi="Calibri" w:cs="Arial"/>
                <w:noProof/>
                <w:sz w:val="20"/>
                <w:szCs w:val="20"/>
                <w:vertAlign w:val="superscript"/>
              </w:rPr>
              <w:t>34</w:t>
            </w:r>
            <w:r w:rsidRPr="00B161C7">
              <w:rPr>
                <w:rFonts w:ascii="Calibri" w:eastAsia="Calibri" w:hAnsi="Calibri" w:cs="Arial"/>
                <w:sz w:val="20"/>
                <w:szCs w:val="20"/>
              </w:rPr>
              <w:t xml:space="preserve">. The chiropractic oriented CPG for neck pain and associated disorders (NAD) and whiplash associated disorders (WAD) also recommended education in acute and subacute NAD and WAD, however not as a stand-alone strategy, rather as part of a multimodal care package including e.g. manual therapy and exercise </w:t>
            </w:r>
            <w:r w:rsidRPr="005038FB">
              <w:rPr>
                <w:rFonts w:ascii="Calibri" w:eastAsia="Calibri" w:hAnsi="Calibri" w:cs="Arial"/>
                <w:noProof/>
                <w:sz w:val="20"/>
                <w:szCs w:val="20"/>
                <w:vertAlign w:val="superscript"/>
              </w:rPr>
              <w:t>33</w:t>
            </w:r>
            <w:r w:rsidRPr="00B161C7">
              <w:rPr>
                <w:rFonts w:ascii="Calibri" w:eastAsia="Calibri" w:hAnsi="Calibri" w:cs="Arial"/>
                <w:sz w:val="20"/>
                <w:szCs w:val="20"/>
              </w:rPr>
              <w:t xml:space="preserve">. </w:t>
            </w:r>
          </w:p>
          <w:p w:rsidR="00AB3A3C" w:rsidRPr="00B161C7" w:rsidRDefault="00AB3A3C" w:rsidP="00D35636">
            <w:pPr>
              <w:spacing w:after="0" w:line="240" w:lineRule="auto"/>
              <w:rPr>
                <w:rFonts w:ascii="Calibri" w:eastAsia="Calibri" w:hAnsi="Calibri" w:cs="Arial"/>
                <w:sz w:val="20"/>
                <w:szCs w:val="20"/>
              </w:rPr>
            </w:pPr>
          </w:p>
          <w:p w:rsidR="00AB3A3C" w:rsidRPr="00B161C7" w:rsidRDefault="00AB3A3C" w:rsidP="00D35636">
            <w:pPr>
              <w:spacing w:after="0" w:line="240" w:lineRule="auto"/>
              <w:rPr>
                <w:rFonts w:ascii="Calibri" w:eastAsia="Calibri" w:hAnsi="Calibri" w:cs="Arial"/>
                <w:sz w:val="20"/>
                <w:szCs w:val="20"/>
              </w:rPr>
            </w:pPr>
            <w:r w:rsidRPr="00B161C7">
              <w:rPr>
                <w:rFonts w:ascii="Calibri" w:eastAsia="Calibri" w:hAnsi="Calibri" w:cs="Arial"/>
                <w:sz w:val="20"/>
                <w:szCs w:val="20"/>
              </w:rPr>
              <w:t xml:space="preserve">Providing education/information was integral to all OA CPGs including both self-management and condition related information. The EULAR and NICE CPGs recommended that education/information should be individualised and incorporated at all stages of management </w:t>
            </w:r>
            <w:r w:rsidRPr="005038FB">
              <w:rPr>
                <w:rFonts w:ascii="Calibri" w:eastAsia="Calibri" w:hAnsi="Calibri" w:cs="Arial"/>
                <w:noProof/>
                <w:sz w:val="20"/>
                <w:szCs w:val="20"/>
                <w:vertAlign w:val="superscript"/>
              </w:rPr>
              <w:t>36 45</w:t>
            </w:r>
            <w:r w:rsidRPr="00B161C7">
              <w:rPr>
                <w:rFonts w:ascii="Calibri" w:eastAsia="Calibri" w:hAnsi="Calibri" w:cs="Arial"/>
                <w:sz w:val="20"/>
                <w:szCs w:val="20"/>
              </w:rPr>
              <w:t xml:space="preserve">. Education should include the nature, causes, consequence and prognosis of OA and reinforced by written, audio-visual or peer groups </w:t>
            </w:r>
            <w:r w:rsidRPr="005038FB">
              <w:rPr>
                <w:rFonts w:ascii="Calibri" w:eastAsia="Calibri" w:hAnsi="Calibri" w:cs="Arial"/>
                <w:noProof/>
                <w:sz w:val="20"/>
                <w:szCs w:val="20"/>
                <w:vertAlign w:val="superscript"/>
              </w:rPr>
              <w:t>36</w:t>
            </w:r>
            <w:r w:rsidRPr="00B161C7">
              <w:rPr>
                <w:rFonts w:ascii="Calibri" w:eastAsia="Calibri" w:hAnsi="Calibri" w:cs="Arial"/>
                <w:sz w:val="20"/>
                <w:szCs w:val="20"/>
              </w:rPr>
              <w:t xml:space="preserve">. Weight loss education should be offered for people who are overweight </w:t>
            </w:r>
            <w:r w:rsidRPr="005038FB">
              <w:rPr>
                <w:rFonts w:ascii="Calibri" w:eastAsia="Calibri" w:hAnsi="Calibri" w:cs="Arial"/>
                <w:noProof/>
                <w:sz w:val="20"/>
                <w:szCs w:val="20"/>
                <w:vertAlign w:val="superscript"/>
              </w:rPr>
              <w:t>36</w:t>
            </w:r>
            <w:r w:rsidRPr="00B161C7">
              <w:rPr>
                <w:rFonts w:ascii="Calibri" w:eastAsia="Calibri" w:hAnsi="Calibri" w:cs="Arial"/>
                <w:sz w:val="20"/>
                <w:szCs w:val="20"/>
              </w:rPr>
              <w:t xml:space="preserve">. The OARSI CPG noted that group-based or telephone education sessions may be more feasible to implement in primary care </w:t>
            </w:r>
            <w:r w:rsidRPr="005038FB">
              <w:rPr>
                <w:rFonts w:ascii="Calibri" w:eastAsia="Calibri" w:hAnsi="Calibri" w:cs="Arial"/>
                <w:noProof/>
                <w:sz w:val="20"/>
                <w:szCs w:val="20"/>
                <w:vertAlign w:val="superscript"/>
              </w:rPr>
              <w:t>42</w:t>
            </w:r>
            <w:r w:rsidRPr="00B161C7">
              <w:rPr>
                <w:rFonts w:ascii="Calibri" w:eastAsia="Calibri" w:hAnsi="Calibri" w:cs="Arial"/>
                <w:sz w:val="20"/>
                <w:szCs w:val="20"/>
              </w:rPr>
              <w:t xml:space="preserve">. </w:t>
            </w:r>
          </w:p>
          <w:p w:rsidR="00AB3A3C" w:rsidRPr="00B161C7" w:rsidRDefault="00AB3A3C" w:rsidP="00D35636">
            <w:pPr>
              <w:spacing w:after="0" w:line="240" w:lineRule="auto"/>
              <w:rPr>
                <w:rFonts w:ascii="Calibri" w:eastAsia="Calibri" w:hAnsi="Calibri" w:cs="Arial"/>
                <w:sz w:val="20"/>
                <w:szCs w:val="20"/>
              </w:rPr>
            </w:pPr>
          </w:p>
          <w:p w:rsidR="00AB3A3C" w:rsidRPr="00B161C7" w:rsidRDefault="00AB3A3C" w:rsidP="00D35636">
            <w:pPr>
              <w:spacing w:after="0" w:line="240" w:lineRule="auto"/>
              <w:rPr>
                <w:rFonts w:ascii="Calibri" w:eastAsia="Calibri" w:hAnsi="Calibri" w:cs="Arial"/>
                <w:sz w:val="20"/>
                <w:szCs w:val="20"/>
              </w:rPr>
            </w:pPr>
            <w:r w:rsidRPr="00B161C7">
              <w:rPr>
                <w:rFonts w:ascii="Calibri" w:eastAsia="Calibri" w:hAnsi="Calibri" w:cs="Arial"/>
                <w:sz w:val="20"/>
                <w:szCs w:val="20"/>
              </w:rPr>
              <w:lastRenderedPageBreak/>
              <w:t xml:space="preserve">All CPGs for LBP recommended education/information to address psychosocial issues (e.g. reduce fear and increase self-efficacy </w:t>
            </w:r>
            <w:r w:rsidRPr="005038FB">
              <w:rPr>
                <w:rFonts w:ascii="Calibri" w:eastAsia="Calibri" w:hAnsi="Calibri" w:cs="Arial"/>
                <w:noProof/>
                <w:sz w:val="20"/>
                <w:szCs w:val="20"/>
                <w:vertAlign w:val="superscript"/>
              </w:rPr>
              <w:t>40</w:t>
            </w:r>
            <w:r w:rsidRPr="00B161C7">
              <w:rPr>
                <w:rFonts w:ascii="Calibri" w:eastAsia="Calibri" w:hAnsi="Calibri" w:cs="Arial"/>
                <w:sz w:val="20"/>
                <w:szCs w:val="20"/>
              </w:rPr>
              <w:t xml:space="preserve">), encourage normal activity, and address participation in exercise. The NICE, Danish and Belgian CPGs emphasised education that is individualised to patient needs </w:t>
            </w:r>
            <w:r w:rsidRPr="005038FB">
              <w:rPr>
                <w:rFonts w:ascii="Calibri" w:eastAsia="Calibri" w:hAnsi="Calibri" w:cs="Arial"/>
                <w:noProof/>
                <w:sz w:val="20"/>
                <w:szCs w:val="20"/>
                <w:vertAlign w:val="superscript"/>
              </w:rPr>
              <w:t>35 38 40</w:t>
            </w:r>
            <w:r w:rsidRPr="00B161C7">
              <w:rPr>
                <w:rFonts w:ascii="Calibri" w:eastAsia="Calibri" w:hAnsi="Calibri" w:cs="Arial"/>
                <w:sz w:val="20"/>
                <w:szCs w:val="20"/>
              </w:rPr>
              <w:t xml:space="preserve">. </w:t>
            </w:r>
          </w:p>
          <w:p w:rsidR="00AB3A3C" w:rsidRPr="00B161C7" w:rsidRDefault="00AB3A3C" w:rsidP="00D35636">
            <w:pPr>
              <w:spacing w:after="0" w:line="240" w:lineRule="auto"/>
              <w:rPr>
                <w:rFonts w:ascii="Calibri" w:eastAsia="Calibri" w:hAnsi="Calibri" w:cs="Arial"/>
                <w:sz w:val="20"/>
                <w:szCs w:val="20"/>
              </w:rPr>
            </w:pPr>
          </w:p>
          <w:p w:rsidR="00AB3A3C" w:rsidRPr="00B161C7" w:rsidRDefault="00AB3A3C" w:rsidP="00D35636">
            <w:pPr>
              <w:spacing w:after="0" w:line="240" w:lineRule="auto"/>
              <w:rPr>
                <w:rFonts w:ascii="Calibri" w:eastAsia="Calibri" w:hAnsi="Calibri" w:cs="Arial"/>
                <w:sz w:val="20"/>
                <w:szCs w:val="20"/>
              </w:rPr>
            </w:pPr>
            <w:r w:rsidRPr="00B161C7">
              <w:rPr>
                <w:rFonts w:ascii="Calibri" w:eastAsia="Calibri" w:hAnsi="Calibri" w:cs="Arial"/>
                <w:sz w:val="20"/>
                <w:szCs w:val="20"/>
              </w:rPr>
              <w:t xml:space="preserve">One CPG for rotator cuff disorders </w:t>
            </w:r>
            <w:r w:rsidRPr="005038FB">
              <w:rPr>
                <w:rFonts w:ascii="Calibri" w:eastAsia="Calibri" w:hAnsi="Calibri" w:cs="Arial"/>
                <w:noProof/>
                <w:sz w:val="20"/>
                <w:szCs w:val="20"/>
                <w:vertAlign w:val="superscript"/>
              </w:rPr>
              <w:t>41</w:t>
            </w:r>
            <w:r w:rsidRPr="00B161C7">
              <w:rPr>
                <w:rFonts w:ascii="Calibri" w:eastAsia="Calibri" w:hAnsi="Calibri" w:cs="Arial"/>
                <w:sz w:val="20"/>
                <w:szCs w:val="20"/>
              </w:rPr>
              <w:t xml:space="preserve"> and the Belgian LBP CPG </w:t>
            </w:r>
            <w:r w:rsidRPr="005038FB">
              <w:rPr>
                <w:rFonts w:ascii="Calibri" w:eastAsia="Calibri" w:hAnsi="Calibri" w:cs="Arial"/>
                <w:noProof/>
                <w:sz w:val="20"/>
                <w:szCs w:val="20"/>
                <w:vertAlign w:val="superscript"/>
              </w:rPr>
              <w:t>38</w:t>
            </w:r>
            <w:r w:rsidRPr="00B161C7">
              <w:rPr>
                <w:rFonts w:ascii="Calibri" w:eastAsia="Calibri" w:hAnsi="Calibri" w:cs="Arial"/>
                <w:sz w:val="20"/>
                <w:szCs w:val="20"/>
              </w:rPr>
              <w:t xml:space="preserve"> specifically recommended educating patients about radiological imaging; its limitations and explaining to patients that imaging may not be indicated. The rotator cuff disorder CPG also recommended education on the risks and benefits of corticosteroid injection </w:t>
            </w:r>
            <w:r w:rsidRPr="005038FB">
              <w:rPr>
                <w:rFonts w:ascii="Calibri" w:eastAsia="Calibri" w:hAnsi="Calibri" w:cs="Arial"/>
                <w:noProof/>
                <w:sz w:val="20"/>
                <w:szCs w:val="20"/>
                <w:vertAlign w:val="superscript"/>
              </w:rPr>
              <w:t>41</w:t>
            </w:r>
            <w:r w:rsidRPr="00B161C7">
              <w:rPr>
                <w:rFonts w:ascii="Calibri" w:eastAsia="Calibri" w:hAnsi="Calibri" w:cs="Arial"/>
                <w:sz w:val="20"/>
                <w:szCs w:val="20"/>
              </w:rPr>
              <w:t>.</w:t>
            </w:r>
          </w:p>
          <w:p w:rsidR="00AB3A3C" w:rsidRPr="00B161C7" w:rsidRDefault="00AB3A3C" w:rsidP="00D35636">
            <w:pPr>
              <w:spacing w:after="0" w:line="240" w:lineRule="auto"/>
              <w:rPr>
                <w:rFonts w:ascii="Calibri" w:eastAsia="Calibri" w:hAnsi="Calibri" w:cs="Arial"/>
                <w:sz w:val="20"/>
                <w:szCs w:val="20"/>
              </w:rPr>
            </w:pPr>
          </w:p>
          <w:p w:rsidR="00AB3A3C" w:rsidRPr="00B161C7" w:rsidRDefault="00AB3A3C" w:rsidP="00D35636">
            <w:pPr>
              <w:spacing w:after="0" w:line="240" w:lineRule="auto"/>
              <w:rPr>
                <w:rFonts w:ascii="Calibri" w:eastAsia="Calibri" w:hAnsi="Calibri" w:cs="Arial"/>
                <w:sz w:val="20"/>
                <w:szCs w:val="20"/>
                <w:highlight w:val="yellow"/>
              </w:rPr>
            </w:pPr>
            <w:r w:rsidRPr="00B161C7">
              <w:rPr>
                <w:rFonts w:ascii="Calibri" w:eastAsia="Calibri" w:hAnsi="Calibri" w:cs="Arial"/>
                <w:sz w:val="20"/>
                <w:szCs w:val="20"/>
                <w:highlight w:val="yellow"/>
              </w:rPr>
              <w:t xml:space="preserve">Consensus across MSK pain conditions: </w:t>
            </w:r>
          </w:p>
          <w:p w:rsidR="00AB3A3C" w:rsidRPr="00B161C7" w:rsidRDefault="00AB3A3C" w:rsidP="00AB3A3C">
            <w:pPr>
              <w:numPr>
                <w:ilvl w:val="0"/>
                <w:numId w:val="3"/>
              </w:numPr>
              <w:spacing w:after="0" w:line="240" w:lineRule="auto"/>
              <w:contextualSpacing/>
              <w:rPr>
                <w:rFonts w:ascii="Calibri" w:eastAsia="Calibri" w:hAnsi="Calibri" w:cs="Arial"/>
                <w:sz w:val="20"/>
                <w:szCs w:val="20"/>
              </w:rPr>
            </w:pPr>
            <w:r w:rsidRPr="00B161C7">
              <w:rPr>
                <w:rFonts w:ascii="Calibri" w:eastAsia="Calibri" w:hAnsi="Calibri" w:cs="Arial"/>
                <w:sz w:val="20"/>
                <w:szCs w:val="20"/>
                <w:highlight w:val="yellow"/>
              </w:rPr>
              <w:t>All patients should be provided with education/information about their condition and/or management options.</w:t>
            </w:r>
            <w:r w:rsidRPr="00B161C7">
              <w:rPr>
                <w:rFonts w:ascii="Calibri" w:eastAsia="Calibri" w:hAnsi="Calibri" w:cs="Arial"/>
                <w:sz w:val="20"/>
                <w:szCs w:val="20"/>
              </w:rPr>
              <w:t xml:space="preserve"> </w:t>
            </w:r>
          </w:p>
          <w:p w:rsidR="00AB3A3C" w:rsidRPr="00B161C7" w:rsidRDefault="00AB3A3C" w:rsidP="00D35636">
            <w:pPr>
              <w:spacing w:after="0" w:line="240" w:lineRule="auto"/>
              <w:rPr>
                <w:rFonts w:ascii="Calibri" w:eastAsia="Calibri" w:hAnsi="Calibri" w:cs="Arial"/>
                <w:sz w:val="20"/>
                <w:szCs w:val="20"/>
              </w:rPr>
            </w:pPr>
          </w:p>
        </w:tc>
      </w:tr>
      <w:tr w:rsidR="00AB3A3C" w:rsidRPr="00B161C7" w:rsidTr="00D35636">
        <w:tc>
          <w:tcPr>
            <w:tcW w:w="811" w:type="pct"/>
          </w:tcPr>
          <w:p w:rsidR="00AB3A3C" w:rsidRPr="00B161C7" w:rsidRDefault="00AB3A3C" w:rsidP="00D35636">
            <w:pPr>
              <w:spacing w:after="0" w:line="240" w:lineRule="auto"/>
              <w:rPr>
                <w:rFonts w:ascii="Calibri" w:eastAsia="Calibri" w:hAnsi="Calibri" w:cs="Arial"/>
                <w:sz w:val="20"/>
                <w:szCs w:val="20"/>
              </w:rPr>
            </w:pPr>
            <w:r w:rsidRPr="00B161C7">
              <w:rPr>
                <w:rFonts w:ascii="Calibri" w:eastAsia="Calibri" w:hAnsi="Calibri" w:cs="Arial"/>
                <w:sz w:val="20"/>
                <w:szCs w:val="20"/>
              </w:rPr>
              <w:lastRenderedPageBreak/>
              <w:t xml:space="preserve">Physical activity/exercise </w:t>
            </w:r>
          </w:p>
        </w:tc>
        <w:tc>
          <w:tcPr>
            <w:tcW w:w="4189" w:type="pct"/>
          </w:tcPr>
          <w:p w:rsidR="00AB3A3C" w:rsidRPr="00B161C7" w:rsidRDefault="00AB3A3C" w:rsidP="00D35636">
            <w:pPr>
              <w:spacing w:after="0" w:line="240" w:lineRule="auto"/>
              <w:rPr>
                <w:rFonts w:ascii="Calibri" w:eastAsia="Calibri" w:hAnsi="Calibri" w:cs="Arial"/>
                <w:sz w:val="20"/>
                <w:szCs w:val="20"/>
              </w:rPr>
            </w:pPr>
            <w:r w:rsidRPr="00B161C7">
              <w:rPr>
                <w:rFonts w:ascii="Calibri" w:eastAsia="Calibri" w:hAnsi="Calibri" w:cs="Arial"/>
                <w:sz w:val="20"/>
                <w:szCs w:val="20"/>
              </w:rPr>
              <w:t xml:space="preserve">All CPGs included recommendations relating to activity/exercise. The strength of recommendation, and types of recommended activity/exercise, varied between different MSK conditions. Physical activity/exercise included recommendations for general exercise/activity, specific exercise (for example for a body part), and supervised exercise. </w:t>
            </w:r>
          </w:p>
          <w:p w:rsidR="00AB3A3C" w:rsidRPr="00B161C7" w:rsidRDefault="00AB3A3C" w:rsidP="00D35636">
            <w:pPr>
              <w:spacing w:after="0" w:line="240" w:lineRule="auto"/>
              <w:rPr>
                <w:rFonts w:ascii="Calibri" w:eastAsia="Calibri" w:hAnsi="Calibri" w:cs="Arial"/>
                <w:sz w:val="20"/>
                <w:szCs w:val="20"/>
              </w:rPr>
            </w:pPr>
          </w:p>
          <w:p w:rsidR="00AB3A3C" w:rsidRPr="00B161C7" w:rsidRDefault="00AB3A3C" w:rsidP="00D35636">
            <w:pPr>
              <w:spacing w:after="0" w:line="240" w:lineRule="auto"/>
              <w:rPr>
                <w:rFonts w:ascii="Calibri" w:eastAsia="Calibri" w:hAnsi="Calibri" w:cs="Arial"/>
                <w:sz w:val="20"/>
                <w:szCs w:val="20"/>
                <w:u w:val="single"/>
              </w:rPr>
            </w:pPr>
            <w:r w:rsidRPr="00B161C7">
              <w:rPr>
                <w:rFonts w:ascii="Calibri" w:eastAsia="Calibri" w:hAnsi="Calibri" w:cs="Arial"/>
                <w:sz w:val="20"/>
                <w:szCs w:val="20"/>
                <w:u w:val="single"/>
              </w:rPr>
              <w:t xml:space="preserve">General physical activity/exercise </w:t>
            </w:r>
          </w:p>
          <w:p w:rsidR="00AB3A3C" w:rsidRPr="00B161C7" w:rsidRDefault="00AB3A3C" w:rsidP="00D35636">
            <w:pPr>
              <w:spacing w:after="0" w:line="240" w:lineRule="auto"/>
              <w:rPr>
                <w:rFonts w:ascii="Calibri" w:eastAsia="Calibri" w:hAnsi="Calibri" w:cs="Arial"/>
                <w:sz w:val="20"/>
                <w:szCs w:val="20"/>
              </w:rPr>
            </w:pPr>
            <w:r w:rsidRPr="00B161C7">
              <w:rPr>
                <w:rFonts w:ascii="Calibri" w:eastAsia="Calibri" w:hAnsi="Calibri" w:cs="Arial"/>
                <w:sz w:val="20"/>
                <w:szCs w:val="20"/>
              </w:rPr>
              <w:t xml:space="preserve">CPGs for OA </w:t>
            </w:r>
            <w:r w:rsidRPr="005038FB">
              <w:rPr>
                <w:rFonts w:ascii="Calibri" w:eastAsia="Calibri" w:hAnsi="Calibri" w:cs="Arial"/>
                <w:noProof/>
                <w:sz w:val="20"/>
                <w:szCs w:val="20"/>
                <w:vertAlign w:val="superscript"/>
              </w:rPr>
              <w:t>36 39 42 45</w:t>
            </w:r>
            <w:r w:rsidRPr="00B161C7">
              <w:rPr>
                <w:rFonts w:ascii="Calibri" w:eastAsia="Calibri" w:hAnsi="Calibri" w:cs="Arial"/>
                <w:sz w:val="20"/>
                <w:szCs w:val="20"/>
              </w:rPr>
              <w:t xml:space="preserve">, LBP </w:t>
            </w:r>
            <w:r w:rsidRPr="005038FB">
              <w:rPr>
                <w:rFonts w:ascii="Calibri" w:eastAsia="Calibri" w:hAnsi="Calibri" w:cs="Arial"/>
                <w:noProof/>
                <w:sz w:val="20"/>
                <w:szCs w:val="20"/>
                <w:vertAlign w:val="superscript"/>
              </w:rPr>
              <w:t>35 37 38 40</w:t>
            </w:r>
            <w:r w:rsidRPr="00B161C7">
              <w:rPr>
                <w:rFonts w:ascii="Calibri" w:eastAsia="Calibri" w:hAnsi="Calibri" w:cs="Arial"/>
                <w:sz w:val="20"/>
                <w:szCs w:val="20"/>
              </w:rPr>
              <w:t xml:space="preserve"> and neck pain </w:t>
            </w:r>
            <w:r w:rsidRPr="005038FB">
              <w:rPr>
                <w:rFonts w:ascii="Calibri" w:eastAsia="Calibri" w:hAnsi="Calibri" w:cs="Arial"/>
                <w:noProof/>
                <w:sz w:val="20"/>
                <w:szCs w:val="20"/>
                <w:vertAlign w:val="superscript"/>
              </w:rPr>
              <w:t>33 34</w:t>
            </w:r>
            <w:r w:rsidRPr="00B161C7">
              <w:rPr>
                <w:rFonts w:ascii="Calibri" w:eastAsia="Calibri" w:hAnsi="Calibri" w:cs="Arial"/>
                <w:sz w:val="20"/>
                <w:szCs w:val="20"/>
              </w:rPr>
              <w:t xml:space="preserve"> recommended physical activity including maintenance of activity/normal physical activity, aerobic exercises, ‘exercise’ and/or ‘general exercise’. For OA the strength of recommendation was strong. Two LBP CPGs recommended that all patients should receive advice about activity, such as continuing with normal activity </w:t>
            </w:r>
            <w:r w:rsidRPr="005038FB">
              <w:rPr>
                <w:rFonts w:ascii="Calibri" w:eastAsia="Calibri" w:hAnsi="Calibri" w:cs="Arial"/>
                <w:noProof/>
                <w:sz w:val="20"/>
                <w:szCs w:val="20"/>
                <w:vertAlign w:val="superscript"/>
              </w:rPr>
              <w:t>35 40</w:t>
            </w:r>
            <w:r w:rsidRPr="00B161C7">
              <w:rPr>
                <w:rFonts w:ascii="Calibri" w:eastAsia="Calibri" w:hAnsi="Calibri" w:cs="Arial"/>
                <w:sz w:val="20"/>
                <w:szCs w:val="20"/>
              </w:rPr>
              <w:t xml:space="preserve">. Two neck pain CPGs recommended advising patients to maintain activity and movement </w:t>
            </w:r>
            <w:r w:rsidRPr="005038FB">
              <w:rPr>
                <w:rFonts w:ascii="Calibri" w:eastAsia="Calibri" w:hAnsi="Calibri" w:cs="Arial"/>
                <w:noProof/>
                <w:sz w:val="20"/>
                <w:szCs w:val="20"/>
                <w:vertAlign w:val="superscript"/>
              </w:rPr>
              <w:t>33 34</w:t>
            </w:r>
            <w:r w:rsidRPr="00B161C7">
              <w:rPr>
                <w:rFonts w:ascii="Calibri" w:eastAsia="Calibri" w:hAnsi="Calibri" w:cs="Arial"/>
                <w:sz w:val="20"/>
                <w:szCs w:val="20"/>
              </w:rPr>
              <w:t xml:space="preserve">, whilst the chiropractic CPG recommended considering “general and/or specific exercise programs” as a possible adjunct to core manual therapy treatments </w:t>
            </w:r>
            <w:r w:rsidRPr="005038FB">
              <w:rPr>
                <w:rFonts w:ascii="Calibri" w:eastAsia="Calibri" w:hAnsi="Calibri" w:cs="Arial"/>
                <w:noProof/>
                <w:sz w:val="20"/>
                <w:szCs w:val="20"/>
                <w:vertAlign w:val="superscript"/>
              </w:rPr>
              <w:t>37</w:t>
            </w:r>
            <w:r w:rsidRPr="00B161C7">
              <w:rPr>
                <w:rFonts w:ascii="Calibri" w:eastAsia="Calibri" w:hAnsi="Calibri" w:cs="Arial"/>
                <w:sz w:val="20"/>
                <w:szCs w:val="20"/>
              </w:rPr>
              <w:t>.</w:t>
            </w:r>
          </w:p>
          <w:p w:rsidR="00AB3A3C" w:rsidRPr="00B161C7" w:rsidRDefault="00AB3A3C" w:rsidP="00D35636">
            <w:pPr>
              <w:spacing w:after="0" w:line="240" w:lineRule="auto"/>
              <w:rPr>
                <w:rFonts w:ascii="Calibri" w:eastAsia="Calibri" w:hAnsi="Calibri" w:cs="Arial"/>
                <w:sz w:val="20"/>
                <w:szCs w:val="20"/>
              </w:rPr>
            </w:pPr>
          </w:p>
          <w:p w:rsidR="00AB3A3C" w:rsidRPr="00B161C7" w:rsidRDefault="00AB3A3C" w:rsidP="00D35636">
            <w:pPr>
              <w:spacing w:after="0" w:line="240" w:lineRule="auto"/>
              <w:rPr>
                <w:rFonts w:ascii="Calibri" w:eastAsia="Calibri" w:hAnsi="Calibri" w:cs="Arial"/>
                <w:sz w:val="20"/>
                <w:szCs w:val="20"/>
                <w:u w:val="single"/>
              </w:rPr>
            </w:pPr>
            <w:r w:rsidRPr="00B161C7">
              <w:rPr>
                <w:rFonts w:ascii="Calibri" w:eastAsia="Calibri" w:hAnsi="Calibri" w:cs="Arial"/>
                <w:sz w:val="20"/>
                <w:szCs w:val="20"/>
                <w:u w:val="single"/>
              </w:rPr>
              <w:t xml:space="preserve">Specific exercise </w:t>
            </w:r>
          </w:p>
          <w:p w:rsidR="00AB3A3C" w:rsidRPr="00B161C7" w:rsidRDefault="00AB3A3C" w:rsidP="00D35636">
            <w:pPr>
              <w:spacing w:after="0" w:line="240" w:lineRule="auto"/>
              <w:rPr>
                <w:rFonts w:ascii="Calibri" w:eastAsia="Calibri" w:hAnsi="Calibri" w:cs="Arial"/>
                <w:sz w:val="20"/>
                <w:szCs w:val="20"/>
              </w:rPr>
            </w:pPr>
            <w:r w:rsidRPr="00B161C7">
              <w:rPr>
                <w:rFonts w:ascii="Calibri" w:eastAsia="Calibri" w:hAnsi="Calibri" w:cs="Arial"/>
                <w:sz w:val="20"/>
                <w:szCs w:val="20"/>
              </w:rPr>
              <w:t xml:space="preserve">Again, OA CPGs strongly recommended specific exercises which was most commonly strengthening exercises </w:t>
            </w:r>
            <w:r w:rsidRPr="005038FB">
              <w:rPr>
                <w:rFonts w:ascii="Calibri" w:eastAsia="Calibri" w:hAnsi="Calibri" w:cs="Arial"/>
                <w:noProof/>
                <w:sz w:val="20"/>
                <w:szCs w:val="20"/>
                <w:vertAlign w:val="superscript"/>
              </w:rPr>
              <w:t>36 42 45 58</w:t>
            </w:r>
            <w:r w:rsidRPr="00B161C7">
              <w:rPr>
                <w:rFonts w:ascii="Calibri" w:eastAsia="Calibri" w:hAnsi="Calibri" w:cs="Arial"/>
                <w:sz w:val="20"/>
                <w:szCs w:val="20"/>
              </w:rPr>
              <w:t xml:space="preserve">. Most OA CPGs did not specify an optimal type of strength training with the exception of the EULAR CPG that recommended home isometric strengthening exercises </w:t>
            </w:r>
            <w:r w:rsidRPr="005038FB">
              <w:rPr>
                <w:rFonts w:ascii="Calibri" w:eastAsia="Calibri" w:hAnsi="Calibri" w:cs="Arial"/>
                <w:noProof/>
                <w:sz w:val="20"/>
                <w:szCs w:val="20"/>
                <w:vertAlign w:val="superscript"/>
              </w:rPr>
              <w:t>36</w:t>
            </w:r>
            <w:r w:rsidRPr="00B161C7">
              <w:rPr>
                <w:rFonts w:ascii="Calibri" w:eastAsia="Calibri" w:hAnsi="Calibri" w:cs="Arial"/>
                <w:sz w:val="20"/>
                <w:szCs w:val="20"/>
              </w:rPr>
              <w:t xml:space="preserve">. Other forms of exercise recommended included mobility (e.g. range of motion, stretching) </w:t>
            </w:r>
            <w:r w:rsidRPr="005038FB">
              <w:rPr>
                <w:rFonts w:ascii="Calibri" w:eastAsia="Calibri" w:hAnsi="Calibri" w:cs="Arial"/>
                <w:noProof/>
                <w:sz w:val="20"/>
                <w:szCs w:val="20"/>
                <w:vertAlign w:val="superscript"/>
              </w:rPr>
              <w:t>36 42</w:t>
            </w:r>
            <w:r w:rsidRPr="00B161C7">
              <w:rPr>
                <w:rFonts w:ascii="Calibri" w:eastAsia="Calibri" w:hAnsi="Calibri" w:cs="Arial"/>
                <w:sz w:val="20"/>
                <w:szCs w:val="20"/>
              </w:rPr>
              <w:t xml:space="preserve">, water-based exercises </w:t>
            </w:r>
            <w:r w:rsidRPr="005038FB">
              <w:rPr>
                <w:rFonts w:ascii="Calibri" w:eastAsia="Calibri" w:hAnsi="Calibri" w:cs="Arial"/>
                <w:noProof/>
                <w:sz w:val="20"/>
                <w:szCs w:val="20"/>
                <w:vertAlign w:val="superscript"/>
              </w:rPr>
              <w:t>42</w:t>
            </w:r>
            <w:r w:rsidRPr="00B161C7">
              <w:rPr>
                <w:rFonts w:ascii="Calibri" w:eastAsia="Calibri" w:hAnsi="Calibri" w:cs="Arial"/>
                <w:sz w:val="20"/>
                <w:szCs w:val="20"/>
              </w:rPr>
              <w:t xml:space="preserve"> </w:t>
            </w:r>
            <w:r w:rsidRPr="005038FB">
              <w:rPr>
                <w:rFonts w:ascii="Calibri" w:eastAsia="Calibri" w:hAnsi="Calibri" w:cs="Arial"/>
                <w:noProof/>
                <w:sz w:val="20"/>
                <w:szCs w:val="20"/>
                <w:vertAlign w:val="superscript"/>
              </w:rPr>
              <w:t>36</w:t>
            </w:r>
            <w:r w:rsidRPr="00B161C7">
              <w:rPr>
                <w:rFonts w:ascii="Calibri" w:eastAsia="Calibri" w:hAnsi="Calibri" w:cs="Arial"/>
                <w:sz w:val="20"/>
                <w:szCs w:val="20"/>
              </w:rPr>
              <w:t xml:space="preserve">, neuromuscular education </w:t>
            </w:r>
            <w:r w:rsidRPr="005038FB">
              <w:rPr>
                <w:rFonts w:ascii="Calibri" w:eastAsia="Calibri" w:hAnsi="Calibri" w:cs="Arial"/>
                <w:noProof/>
                <w:sz w:val="20"/>
                <w:szCs w:val="20"/>
                <w:vertAlign w:val="superscript"/>
              </w:rPr>
              <w:t>39</w:t>
            </w:r>
            <w:r w:rsidRPr="00B161C7">
              <w:rPr>
                <w:rFonts w:ascii="Calibri" w:eastAsia="Calibri" w:hAnsi="Calibri" w:cs="Arial"/>
                <w:sz w:val="20"/>
                <w:szCs w:val="20"/>
              </w:rPr>
              <w:t xml:space="preserve"> or tai chi </w:t>
            </w:r>
            <w:r w:rsidRPr="005038FB">
              <w:rPr>
                <w:rFonts w:ascii="Calibri" w:eastAsia="Calibri" w:hAnsi="Calibri" w:cs="Arial"/>
                <w:noProof/>
                <w:sz w:val="20"/>
                <w:szCs w:val="20"/>
                <w:vertAlign w:val="superscript"/>
              </w:rPr>
              <w:t>42</w:t>
            </w:r>
            <w:r w:rsidRPr="00B161C7">
              <w:rPr>
                <w:rFonts w:ascii="Calibri" w:eastAsia="Calibri" w:hAnsi="Calibri" w:cs="Arial"/>
                <w:sz w:val="20"/>
                <w:szCs w:val="20"/>
              </w:rPr>
              <w:t xml:space="preserve">. Two CPGs emphasised consideration of the patient’s context on exercise selection and delivery type e.g. group vs individual </w:t>
            </w:r>
            <w:r w:rsidRPr="005038FB">
              <w:rPr>
                <w:rFonts w:ascii="Calibri" w:eastAsia="Calibri" w:hAnsi="Calibri" w:cs="Arial"/>
                <w:noProof/>
                <w:sz w:val="20"/>
                <w:szCs w:val="20"/>
                <w:vertAlign w:val="superscript"/>
              </w:rPr>
              <w:t>36 45</w:t>
            </w:r>
            <w:r w:rsidRPr="00B161C7">
              <w:rPr>
                <w:rFonts w:ascii="Calibri" w:eastAsia="Calibri" w:hAnsi="Calibri" w:cs="Arial"/>
                <w:sz w:val="20"/>
                <w:szCs w:val="20"/>
              </w:rPr>
              <w:t xml:space="preserve">. </w:t>
            </w:r>
          </w:p>
          <w:p w:rsidR="00AB3A3C" w:rsidRPr="00B161C7" w:rsidRDefault="00AB3A3C" w:rsidP="00D35636">
            <w:pPr>
              <w:spacing w:after="0" w:line="240" w:lineRule="auto"/>
              <w:rPr>
                <w:rFonts w:ascii="Calibri" w:eastAsia="Calibri" w:hAnsi="Calibri" w:cs="Arial"/>
                <w:sz w:val="20"/>
                <w:szCs w:val="20"/>
              </w:rPr>
            </w:pPr>
          </w:p>
          <w:p w:rsidR="00AB3A3C" w:rsidRPr="00B161C7" w:rsidRDefault="00AB3A3C" w:rsidP="00D35636">
            <w:pPr>
              <w:spacing w:after="0" w:line="240" w:lineRule="auto"/>
              <w:rPr>
                <w:rFonts w:ascii="Calibri" w:eastAsia="Calibri" w:hAnsi="Calibri" w:cs="Arial"/>
                <w:sz w:val="20"/>
                <w:szCs w:val="20"/>
              </w:rPr>
            </w:pPr>
            <w:r w:rsidRPr="00B161C7">
              <w:rPr>
                <w:rFonts w:ascii="Calibri" w:eastAsia="Calibri" w:hAnsi="Calibri" w:cs="Arial"/>
                <w:sz w:val="20"/>
                <w:szCs w:val="20"/>
              </w:rPr>
              <w:t xml:space="preserve">LBP CPGs had weak recommendations for specific exercises. The Danish LBP CPG development group made a consensus-based recommendation for directional and motor control exercise for lumbar radiculopathy </w:t>
            </w:r>
            <w:r w:rsidRPr="005038FB">
              <w:rPr>
                <w:rFonts w:ascii="Calibri" w:eastAsia="Calibri" w:hAnsi="Calibri" w:cs="Arial"/>
                <w:noProof/>
                <w:sz w:val="20"/>
                <w:szCs w:val="20"/>
                <w:vertAlign w:val="superscript"/>
              </w:rPr>
              <w:t>40</w:t>
            </w:r>
            <w:r w:rsidRPr="00B161C7">
              <w:rPr>
                <w:rFonts w:ascii="Calibri" w:eastAsia="Calibri" w:hAnsi="Calibri" w:cs="Arial"/>
                <w:sz w:val="20"/>
                <w:szCs w:val="20"/>
              </w:rPr>
              <w:t xml:space="preserve">. The NICE and Belgium LBP CPGs recommended biomechanical, aerobic, mind-body or a combination of these exercise approaches </w:t>
            </w:r>
            <w:r w:rsidRPr="005038FB">
              <w:rPr>
                <w:rFonts w:ascii="Calibri" w:eastAsia="Calibri" w:hAnsi="Calibri" w:cs="Arial"/>
                <w:noProof/>
                <w:sz w:val="20"/>
                <w:szCs w:val="20"/>
                <w:vertAlign w:val="superscript"/>
              </w:rPr>
              <w:t>35 38</w:t>
            </w:r>
            <w:r w:rsidRPr="00B161C7">
              <w:rPr>
                <w:rFonts w:ascii="Calibri" w:eastAsia="Calibri" w:hAnsi="Calibri" w:cs="Arial"/>
                <w:sz w:val="20"/>
                <w:szCs w:val="20"/>
              </w:rPr>
              <w:t xml:space="preserve">. The chiropractic CPG recommended considering “general and/or specific exercise programs” as a possible adjunct to core manual therapy treatments </w:t>
            </w:r>
            <w:r w:rsidRPr="005038FB">
              <w:rPr>
                <w:rFonts w:ascii="Calibri" w:eastAsia="Calibri" w:hAnsi="Calibri" w:cs="Arial"/>
                <w:noProof/>
                <w:sz w:val="20"/>
                <w:szCs w:val="20"/>
                <w:vertAlign w:val="superscript"/>
              </w:rPr>
              <w:t>37</w:t>
            </w:r>
            <w:r w:rsidRPr="00B161C7">
              <w:rPr>
                <w:rFonts w:ascii="Calibri" w:eastAsia="Calibri" w:hAnsi="Calibri" w:cs="Arial"/>
                <w:sz w:val="20"/>
                <w:szCs w:val="20"/>
              </w:rPr>
              <w:t xml:space="preserve">, whereas in the NICE CPG exercise was a central part of multimodal care that could also include psychological therapies and manual therapy </w:t>
            </w:r>
            <w:r w:rsidRPr="005038FB">
              <w:rPr>
                <w:rFonts w:ascii="Calibri" w:eastAsia="Calibri" w:hAnsi="Calibri" w:cs="Arial"/>
                <w:noProof/>
                <w:sz w:val="20"/>
                <w:szCs w:val="20"/>
                <w:vertAlign w:val="superscript"/>
              </w:rPr>
              <w:t>35</w:t>
            </w:r>
            <w:r w:rsidRPr="00B161C7">
              <w:rPr>
                <w:rFonts w:ascii="Calibri" w:eastAsia="Calibri" w:hAnsi="Calibri" w:cs="Arial"/>
                <w:sz w:val="20"/>
                <w:szCs w:val="20"/>
              </w:rPr>
              <w:t xml:space="preserve">. Tailoring exercise according to individual needs and preferences was recommended by the NICE and Belgian CPGs </w:t>
            </w:r>
            <w:r w:rsidRPr="005038FB">
              <w:rPr>
                <w:rFonts w:ascii="Calibri" w:eastAsia="Calibri" w:hAnsi="Calibri" w:cs="Arial"/>
                <w:noProof/>
                <w:sz w:val="20"/>
                <w:szCs w:val="20"/>
                <w:vertAlign w:val="superscript"/>
              </w:rPr>
              <w:t>35 38</w:t>
            </w:r>
            <w:r w:rsidRPr="00B161C7">
              <w:rPr>
                <w:rFonts w:ascii="Calibri" w:eastAsia="Calibri" w:hAnsi="Calibri" w:cs="Arial"/>
                <w:sz w:val="20"/>
                <w:szCs w:val="20"/>
              </w:rPr>
              <w:t xml:space="preserve">. </w:t>
            </w:r>
          </w:p>
          <w:p w:rsidR="00AB3A3C" w:rsidRPr="00B161C7" w:rsidRDefault="00AB3A3C" w:rsidP="00D35636">
            <w:pPr>
              <w:spacing w:after="0" w:line="240" w:lineRule="auto"/>
              <w:rPr>
                <w:rFonts w:ascii="Calibri" w:eastAsia="Calibri" w:hAnsi="Calibri" w:cs="Arial"/>
                <w:sz w:val="20"/>
                <w:szCs w:val="20"/>
              </w:rPr>
            </w:pPr>
          </w:p>
          <w:p w:rsidR="00AB3A3C" w:rsidRPr="00B161C7" w:rsidRDefault="00AB3A3C" w:rsidP="00D35636">
            <w:pPr>
              <w:spacing w:after="0" w:line="240" w:lineRule="auto"/>
              <w:rPr>
                <w:rFonts w:ascii="Calibri" w:eastAsia="Calibri" w:hAnsi="Calibri" w:cs="Arial"/>
                <w:sz w:val="20"/>
                <w:szCs w:val="20"/>
              </w:rPr>
            </w:pPr>
            <w:r w:rsidRPr="00B161C7">
              <w:rPr>
                <w:rFonts w:ascii="Calibri" w:eastAsia="Calibri" w:hAnsi="Calibri" w:cs="Arial"/>
                <w:sz w:val="20"/>
                <w:szCs w:val="20"/>
              </w:rPr>
              <w:lastRenderedPageBreak/>
              <w:t xml:space="preserve">For NAD recommendations for specific exercise were “weak”, based on low to moderate evidence </w:t>
            </w:r>
            <w:r w:rsidRPr="005038FB">
              <w:rPr>
                <w:rFonts w:ascii="Calibri" w:eastAsia="Calibri" w:hAnsi="Calibri" w:cs="Arial"/>
                <w:noProof/>
                <w:sz w:val="20"/>
                <w:szCs w:val="20"/>
                <w:vertAlign w:val="superscript"/>
              </w:rPr>
              <w:t>33</w:t>
            </w:r>
            <w:r w:rsidRPr="00B161C7">
              <w:rPr>
                <w:rFonts w:ascii="Calibri" w:eastAsia="Calibri" w:hAnsi="Calibri" w:cs="Arial"/>
                <w:sz w:val="20"/>
                <w:szCs w:val="20"/>
              </w:rPr>
              <w:t xml:space="preserve"> or “to be considered” based one or more studies with low risk of bias or systematic reviews </w:t>
            </w:r>
            <w:r w:rsidRPr="005038FB">
              <w:rPr>
                <w:rFonts w:ascii="Calibri" w:eastAsia="Calibri" w:hAnsi="Calibri" w:cs="Arial"/>
                <w:noProof/>
                <w:sz w:val="20"/>
                <w:szCs w:val="20"/>
                <w:vertAlign w:val="superscript"/>
              </w:rPr>
              <w:t>34</w:t>
            </w:r>
            <w:r w:rsidRPr="00B161C7">
              <w:rPr>
                <w:rFonts w:ascii="Calibri" w:eastAsia="Calibri" w:hAnsi="Calibri" w:cs="Arial"/>
                <w:sz w:val="20"/>
                <w:szCs w:val="20"/>
              </w:rPr>
              <w:t xml:space="preserve">. Patients with recent onset NAD could consider range of movement exercises or exercise as part of multimodal care (grades I-II) </w:t>
            </w:r>
            <w:r w:rsidRPr="005038FB">
              <w:rPr>
                <w:rFonts w:ascii="Calibri" w:eastAsia="Calibri" w:hAnsi="Calibri" w:cs="Arial"/>
                <w:noProof/>
                <w:sz w:val="20"/>
                <w:szCs w:val="20"/>
                <w:vertAlign w:val="superscript"/>
              </w:rPr>
              <w:t>33 34</w:t>
            </w:r>
            <w:r w:rsidRPr="00B161C7">
              <w:rPr>
                <w:rFonts w:ascii="Calibri" w:eastAsia="Calibri" w:hAnsi="Calibri" w:cs="Arial"/>
                <w:sz w:val="20"/>
                <w:szCs w:val="20"/>
              </w:rPr>
              <w:t xml:space="preserve">. For persistent NAD (Grade I-II) specific exercise recommendations included stretching or self-mobilisation or, for grades I-III NAD, cervical retraction, deep neck flexor strengthening, and cervical rotation ROM </w:t>
            </w:r>
            <w:r w:rsidRPr="005038FB">
              <w:rPr>
                <w:rFonts w:ascii="Calibri" w:eastAsia="Calibri" w:hAnsi="Calibri" w:cs="Arial"/>
                <w:noProof/>
                <w:sz w:val="20"/>
                <w:szCs w:val="20"/>
                <w:vertAlign w:val="superscript"/>
              </w:rPr>
              <w:t>33</w:t>
            </w:r>
            <w:r w:rsidRPr="00B161C7">
              <w:rPr>
                <w:rFonts w:ascii="Calibri" w:eastAsia="Calibri" w:hAnsi="Calibri" w:cs="Arial"/>
                <w:sz w:val="20"/>
                <w:szCs w:val="20"/>
              </w:rPr>
              <w:t xml:space="preserve">. Other specific exercises for persistent NAD, including </w:t>
            </w:r>
            <w:proofErr w:type="spellStart"/>
            <w:r w:rsidRPr="00B161C7">
              <w:rPr>
                <w:rFonts w:ascii="Calibri" w:eastAsia="Calibri" w:hAnsi="Calibri" w:cs="Arial"/>
                <w:sz w:val="20"/>
                <w:szCs w:val="20"/>
              </w:rPr>
              <w:t>Iyengar</w:t>
            </w:r>
            <w:proofErr w:type="spellEnd"/>
            <w:r w:rsidRPr="00B161C7">
              <w:rPr>
                <w:rFonts w:ascii="Calibri" w:eastAsia="Calibri" w:hAnsi="Calibri" w:cs="Arial"/>
                <w:sz w:val="20"/>
                <w:szCs w:val="20"/>
              </w:rPr>
              <w:t xml:space="preserve"> yoga, qigong, and strengthening, were recommended to be undertaken under supervision (discussed below) </w:t>
            </w:r>
            <w:r w:rsidRPr="005038FB">
              <w:rPr>
                <w:rFonts w:ascii="Calibri" w:eastAsia="Calibri" w:hAnsi="Calibri" w:cs="Arial"/>
                <w:noProof/>
                <w:sz w:val="20"/>
                <w:szCs w:val="20"/>
                <w:vertAlign w:val="superscript"/>
              </w:rPr>
              <w:t>33 34</w:t>
            </w:r>
            <w:r w:rsidRPr="00B161C7">
              <w:rPr>
                <w:rFonts w:ascii="Calibri" w:eastAsia="Calibri" w:hAnsi="Calibri" w:cs="Arial"/>
                <w:sz w:val="20"/>
                <w:szCs w:val="20"/>
              </w:rPr>
              <w:t xml:space="preserve">, although a mix of supervised and unsupervised high intensity strength training was recommended for workers with persistent neck and shoulder pain </w:t>
            </w:r>
            <w:r w:rsidRPr="005038FB">
              <w:rPr>
                <w:rFonts w:ascii="Calibri" w:eastAsia="Calibri" w:hAnsi="Calibri" w:cs="Arial"/>
                <w:noProof/>
                <w:sz w:val="20"/>
                <w:szCs w:val="20"/>
                <w:vertAlign w:val="superscript"/>
              </w:rPr>
              <w:t>33</w:t>
            </w:r>
            <w:r w:rsidRPr="00B161C7">
              <w:rPr>
                <w:rFonts w:ascii="Calibri" w:eastAsia="Calibri" w:hAnsi="Calibri" w:cs="Arial"/>
                <w:sz w:val="20"/>
                <w:szCs w:val="20"/>
              </w:rPr>
              <w:t xml:space="preserve">. </w:t>
            </w:r>
          </w:p>
          <w:p w:rsidR="00AB3A3C" w:rsidRPr="00B161C7" w:rsidRDefault="00AB3A3C" w:rsidP="00D35636">
            <w:pPr>
              <w:spacing w:after="0" w:line="240" w:lineRule="auto"/>
              <w:rPr>
                <w:rFonts w:ascii="Calibri" w:eastAsia="Calibri" w:hAnsi="Calibri" w:cs="Arial"/>
                <w:sz w:val="20"/>
                <w:szCs w:val="20"/>
              </w:rPr>
            </w:pPr>
          </w:p>
          <w:p w:rsidR="00AB3A3C" w:rsidRPr="00B161C7" w:rsidRDefault="00AB3A3C" w:rsidP="00D35636">
            <w:pPr>
              <w:spacing w:after="0" w:line="240" w:lineRule="auto"/>
              <w:rPr>
                <w:rFonts w:ascii="Calibri" w:eastAsia="Calibri" w:hAnsi="Calibri" w:cs="Arial"/>
                <w:sz w:val="20"/>
                <w:szCs w:val="20"/>
              </w:rPr>
            </w:pPr>
            <w:r w:rsidRPr="00B161C7">
              <w:rPr>
                <w:rFonts w:ascii="Calibri" w:eastAsia="Calibri" w:hAnsi="Calibri" w:cs="Arial"/>
                <w:sz w:val="20"/>
                <w:szCs w:val="20"/>
              </w:rPr>
              <w:t xml:space="preserve">The CPG for rotator cuff disorders recommended that patients should be treated initially with prescribed exercise, such as range of motion, stretching and flexibility, and strengthening techniques </w:t>
            </w:r>
            <w:r w:rsidRPr="005038FB">
              <w:rPr>
                <w:rFonts w:ascii="Calibri" w:eastAsia="Calibri" w:hAnsi="Calibri" w:cs="Arial"/>
                <w:noProof/>
                <w:sz w:val="20"/>
                <w:szCs w:val="20"/>
                <w:vertAlign w:val="superscript"/>
              </w:rPr>
              <w:t>41</w:t>
            </w:r>
            <w:r w:rsidRPr="00B161C7">
              <w:rPr>
                <w:rFonts w:ascii="Calibri" w:eastAsia="Calibri" w:hAnsi="Calibri" w:cs="Arial"/>
                <w:sz w:val="20"/>
                <w:szCs w:val="20"/>
              </w:rPr>
              <w:t xml:space="preserve">. If there is an established problem, patients should also be advised to maintain activity within the limits of pain and function of the shoulder </w:t>
            </w:r>
            <w:r w:rsidRPr="005038FB">
              <w:rPr>
                <w:rFonts w:ascii="Calibri" w:eastAsia="Calibri" w:hAnsi="Calibri" w:cs="Arial"/>
                <w:noProof/>
                <w:sz w:val="20"/>
                <w:szCs w:val="20"/>
                <w:vertAlign w:val="superscript"/>
              </w:rPr>
              <w:t>41</w:t>
            </w:r>
            <w:r w:rsidRPr="00B161C7">
              <w:rPr>
                <w:rFonts w:ascii="Calibri" w:eastAsia="Calibri" w:hAnsi="Calibri" w:cs="Arial"/>
                <w:sz w:val="20"/>
                <w:szCs w:val="20"/>
              </w:rPr>
              <w:t xml:space="preserve">. </w:t>
            </w:r>
          </w:p>
          <w:p w:rsidR="00AB3A3C" w:rsidRPr="00B161C7" w:rsidRDefault="00AB3A3C" w:rsidP="00D35636">
            <w:pPr>
              <w:spacing w:after="0" w:line="240" w:lineRule="auto"/>
              <w:rPr>
                <w:rFonts w:ascii="Calibri" w:eastAsia="Calibri" w:hAnsi="Calibri" w:cs="Arial"/>
                <w:sz w:val="20"/>
                <w:szCs w:val="20"/>
              </w:rPr>
            </w:pPr>
          </w:p>
          <w:p w:rsidR="00AB3A3C" w:rsidRPr="00B161C7" w:rsidRDefault="00AB3A3C" w:rsidP="00D35636">
            <w:pPr>
              <w:spacing w:after="0" w:line="240" w:lineRule="auto"/>
              <w:rPr>
                <w:rFonts w:ascii="Calibri" w:eastAsia="Calibri" w:hAnsi="Calibri" w:cs="Arial"/>
                <w:sz w:val="20"/>
                <w:szCs w:val="20"/>
                <w:u w:val="single"/>
              </w:rPr>
            </w:pPr>
            <w:r w:rsidRPr="00B161C7">
              <w:rPr>
                <w:rFonts w:ascii="Calibri" w:eastAsia="Calibri" w:hAnsi="Calibri" w:cs="Arial"/>
                <w:sz w:val="20"/>
                <w:szCs w:val="20"/>
                <w:u w:val="single"/>
              </w:rPr>
              <w:t>Supervised exercise</w:t>
            </w:r>
          </w:p>
          <w:p w:rsidR="00AB3A3C" w:rsidRPr="00B161C7" w:rsidRDefault="00AB3A3C" w:rsidP="00D35636">
            <w:pPr>
              <w:spacing w:after="0" w:line="240" w:lineRule="auto"/>
              <w:rPr>
                <w:rFonts w:ascii="Calibri" w:eastAsia="Calibri" w:hAnsi="Calibri" w:cs="Arial"/>
                <w:sz w:val="20"/>
                <w:szCs w:val="20"/>
              </w:rPr>
            </w:pPr>
            <w:r w:rsidRPr="00B161C7">
              <w:rPr>
                <w:rFonts w:ascii="Calibri" w:eastAsia="Calibri" w:hAnsi="Calibri" w:cs="Arial"/>
                <w:sz w:val="20"/>
                <w:szCs w:val="20"/>
              </w:rPr>
              <w:t xml:space="preserve">The NICE CPG for OA recommended offering supervised or independent exercise based on individual needs, circumstances, motivation and service availability </w:t>
            </w:r>
            <w:r w:rsidRPr="005038FB">
              <w:rPr>
                <w:rFonts w:ascii="Calibri" w:eastAsia="Calibri" w:hAnsi="Calibri" w:cs="Arial"/>
                <w:noProof/>
                <w:sz w:val="20"/>
                <w:szCs w:val="20"/>
                <w:vertAlign w:val="superscript"/>
              </w:rPr>
              <w:t>45</w:t>
            </w:r>
            <w:r w:rsidRPr="00B161C7">
              <w:rPr>
                <w:rFonts w:ascii="Calibri" w:eastAsia="Calibri" w:hAnsi="Calibri" w:cs="Arial"/>
                <w:sz w:val="20"/>
                <w:szCs w:val="20"/>
              </w:rPr>
              <w:t xml:space="preserve">. Three LBP CPGs made weak recommendations for supervised exercise programs. The chiropractic CPG suggests supervised exercise as a possible addition to spinal manual therapy </w:t>
            </w:r>
            <w:r w:rsidRPr="005038FB">
              <w:rPr>
                <w:rFonts w:ascii="Calibri" w:eastAsia="Calibri" w:hAnsi="Calibri" w:cs="Arial"/>
                <w:noProof/>
                <w:sz w:val="20"/>
                <w:szCs w:val="20"/>
                <w:vertAlign w:val="superscript"/>
              </w:rPr>
              <w:t>37</w:t>
            </w:r>
            <w:r w:rsidRPr="00B161C7">
              <w:rPr>
                <w:rFonts w:ascii="Calibri" w:eastAsia="Calibri" w:hAnsi="Calibri" w:cs="Arial"/>
                <w:sz w:val="20"/>
                <w:szCs w:val="20"/>
              </w:rPr>
              <w:t xml:space="preserve">. The NICE CPG suggests individualising a supervised exercise program that could include biomechanical, aerobic, mind-body or a combination of approaches </w:t>
            </w:r>
            <w:r w:rsidRPr="005038FB">
              <w:rPr>
                <w:rFonts w:ascii="Calibri" w:eastAsia="Calibri" w:hAnsi="Calibri" w:cs="Arial"/>
                <w:noProof/>
                <w:sz w:val="20"/>
                <w:szCs w:val="20"/>
                <w:vertAlign w:val="superscript"/>
              </w:rPr>
              <w:t>35</w:t>
            </w:r>
            <w:r w:rsidRPr="00B161C7">
              <w:rPr>
                <w:rFonts w:ascii="Calibri" w:eastAsia="Calibri" w:hAnsi="Calibri" w:cs="Arial"/>
                <w:sz w:val="20"/>
                <w:szCs w:val="20"/>
              </w:rPr>
              <w:t xml:space="preserve">. The Danish LBP CPG made a weak recommendation for supervised exercise for LBP and lumbar radiculopathy </w:t>
            </w:r>
            <w:r w:rsidRPr="005038FB">
              <w:rPr>
                <w:rFonts w:ascii="Calibri" w:eastAsia="Calibri" w:hAnsi="Calibri" w:cs="Arial"/>
                <w:noProof/>
                <w:sz w:val="20"/>
                <w:szCs w:val="20"/>
                <w:vertAlign w:val="superscript"/>
              </w:rPr>
              <w:t>40</w:t>
            </w:r>
            <w:r w:rsidRPr="00B161C7">
              <w:rPr>
                <w:rFonts w:ascii="Calibri" w:eastAsia="Calibri" w:hAnsi="Calibri" w:cs="Arial"/>
                <w:sz w:val="20"/>
                <w:szCs w:val="20"/>
              </w:rPr>
              <w:t xml:space="preserve">. This was in accordance with the NICE LBP CPG that also recommended group exercise for people with recent onset lumbar nerve compression or LBP </w:t>
            </w:r>
            <w:r w:rsidRPr="005038FB">
              <w:rPr>
                <w:rFonts w:ascii="Calibri" w:eastAsia="Calibri" w:hAnsi="Calibri" w:cs="Arial"/>
                <w:noProof/>
                <w:sz w:val="20"/>
                <w:szCs w:val="20"/>
                <w:vertAlign w:val="superscript"/>
              </w:rPr>
              <w:t>35</w:t>
            </w:r>
            <w:r w:rsidRPr="00B161C7">
              <w:rPr>
                <w:rFonts w:ascii="Calibri" w:eastAsia="Calibri" w:hAnsi="Calibri" w:cs="Arial"/>
                <w:sz w:val="20"/>
                <w:szCs w:val="20"/>
              </w:rPr>
              <w:t xml:space="preserve">. Neck pain CPGs recommended supervised exercises for patients with persistent NAD including; supervised graded neck strengthening (grade III) </w:t>
            </w:r>
            <w:r w:rsidRPr="005038FB">
              <w:rPr>
                <w:rFonts w:ascii="Calibri" w:eastAsia="Calibri" w:hAnsi="Calibri" w:cs="Arial"/>
                <w:noProof/>
                <w:sz w:val="20"/>
                <w:szCs w:val="20"/>
                <w:vertAlign w:val="superscript"/>
              </w:rPr>
              <w:t>33 34</w:t>
            </w:r>
            <w:r w:rsidRPr="00B161C7">
              <w:rPr>
                <w:rFonts w:ascii="Calibri" w:eastAsia="Calibri" w:hAnsi="Calibri" w:cs="Arial"/>
                <w:sz w:val="20"/>
                <w:szCs w:val="20"/>
              </w:rPr>
              <w:t xml:space="preserve">, strengthening, range of movement, qigong, </w:t>
            </w:r>
            <w:proofErr w:type="spellStart"/>
            <w:r w:rsidRPr="00B161C7">
              <w:rPr>
                <w:rFonts w:ascii="Calibri" w:eastAsia="Calibri" w:hAnsi="Calibri" w:cs="Arial"/>
                <w:sz w:val="20"/>
                <w:szCs w:val="20"/>
              </w:rPr>
              <w:t>Iyengar</w:t>
            </w:r>
            <w:proofErr w:type="spellEnd"/>
            <w:r w:rsidRPr="00B161C7">
              <w:rPr>
                <w:rFonts w:ascii="Calibri" w:eastAsia="Calibri" w:hAnsi="Calibri" w:cs="Arial"/>
                <w:sz w:val="20"/>
                <w:szCs w:val="20"/>
              </w:rPr>
              <w:t xml:space="preserve"> yoga or exercise as part of multimodal care (grade I-II) </w:t>
            </w:r>
            <w:r w:rsidRPr="005038FB">
              <w:rPr>
                <w:rFonts w:ascii="Calibri" w:eastAsia="Calibri" w:hAnsi="Calibri" w:cs="Arial"/>
                <w:noProof/>
                <w:sz w:val="20"/>
                <w:szCs w:val="20"/>
                <w:vertAlign w:val="superscript"/>
              </w:rPr>
              <w:t>33 34</w:t>
            </w:r>
            <w:r w:rsidRPr="00B161C7">
              <w:rPr>
                <w:rFonts w:ascii="Calibri" w:eastAsia="Calibri" w:hAnsi="Calibri" w:cs="Arial"/>
                <w:sz w:val="20"/>
                <w:szCs w:val="20"/>
              </w:rPr>
              <w:t xml:space="preserve">. For persistent WAD supervised exercise could be offered with advice or advice alone (grade I-II) </w:t>
            </w:r>
            <w:r w:rsidRPr="005038FB">
              <w:rPr>
                <w:rFonts w:ascii="Calibri" w:eastAsia="Calibri" w:hAnsi="Calibri" w:cs="Arial"/>
                <w:noProof/>
                <w:sz w:val="20"/>
                <w:szCs w:val="20"/>
                <w:vertAlign w:val="superscript"/>
              </w:rPr>
              <w:t>33</w:t>
            </w:r>
            <w:r w:rsidRPr="00B161C7">
              <w:rPr>
                <w:rFonts w:ascii="Calibri" w:eastAsia="Calibri" w:hAnsi="Calibri" w:cs="Arial"/>
                <w:sz w:val="20"/>
                <w:szCs w:val="20"/>
              </w:rPr>
              <w:t>.</w:t>
            </w:r>
          </w:p>
          <w:p w:rsidR="00AB3A3C" w:rsidRPr="00B161C7" w:rsidRDefault="00AB3A3C" w:rsidP="00D35636">
            <w:pPr>
              <w:spacing w:after="0" w:line="240" w:lineRule="auto"/>
              <w:rPr>
                <w:rFonts w:ascii="Calibri" w:eastAsia="Calibri" w:hAnsi="Calibri" w:cs="Arial"/>
                <w:sz w:val="20"/>
                <w:szCs w:val="20"/>
              </w:rPr>
            </w:pPr>
          </w:p>
          <w:p w:rsidR="00AB3A3C" w:rsidRPr="00B161C7" w:rsidRDefault="00AB3A3C" w:rsidP="00D35636">
            <w:pPr>
              <w:spacing w:after="0" w:line="240" w:lineRule="auto"/>
              <w:rPr>
                <w:rFonts w:ascii="Calibri" w:eastAsia="Calibri" w:hAnsi="Calibri" w:cs="Arial"/>
                <w:sz w:val="20"/>
                <w:szCs w:val="20"/>
                <w:highlight w:val="yellow"/>
              </w:rPr>
            </w:pPr>
            <w:r w:rsidRPr="00B161C7">
              <w:rPr>
                <w:rFonts w:ascii="Calibri" w:eastAsia="Calibri" w:hAnsi="Calibri" w:cs="Arial"/>
                <w:sz w:val="20"/>
                <w:szCs w:val="20"/>
                <w:highlight w:val="yellow"/>
              </w:rPr>
              <w:t xml:space="preserve">Consensus across MSK pain conditions: </w:t>
            </w:r>
          </w:p>
          <w:p w:rsidR="00AB3A3C" w:rsidRPr="00B161C7" w:rsidRDefault="00AB3A3C" w:rsidP="00AB3A3C">
            <w:pPr>
              <w:numPr>
                <w:ilvl w:val="0"/>
                <w:numId w:val="3"/>
              </w:numPr>
              <w:spacing w:after="0" w:line="240" w:lineRule="auto"/>
              <w:contextualSpacing/>
              <w:rPr>
                <w:rFonts w:ascii="Calibri" w:eastAsia="Calibri" w:hAnsi="Calibri" w:cs="Arial"/>
                <w:sz w:val="20"/>
                <w:szCs w:val="20"/>
                <w:highlight w:val="yellow"/>
              </w:rPr>
            </w:pPr>
            <w:r w:rsidRPr="00B161C7">
              <w:rPr>
                <w:rFonts w:ascii="Calibri" w:eastAsia="Calibri" w:hAnsi="Calibri" w:cs="Arial"/>
                <w:sz w:val="20"/>
                <w:szCs w:val="20"/>
                <w:highlight w:val="yellow"/>
              </w:rPr>
              <w:t xml:space="preserve">Patients should receive management addressing physical activity and/or exercise.  </w:t>
            </w:r>
          </w:p>
          <w:p w:rsidR="00AB3A3C" w:rsidRPr="00B161C7" w:rsidRDefault="00AB3A3C" w:rsidP="00D35636">
            <w:pPr>
              <w:spacing w:after="0" w:line="240" w:lineRule="auto"/>
              <w:rPr>
                <w:rFonts w:ascii="Calibri" w:eastAsia="Calibri" w:hAnsi="Calibri" w:cs="Arial"/>
                <w:sz w:val="20"/>
                <w:szCs w:val="20"/>
              </w:rPr>
            </w:pPr>
            <w:r w:rsidRPr="00B161C7">
              <w:rPr>
                <w:rFonts w:ascii="Calibri" w:eastAsia="Calibri" w:hAnsi="Calibri" w:cs="Arial"/>
                <w:sz w:val="20"/>
                <w:szCs w:val="20"/>
              </w:rPr>
              <w:t xml:space="preserve"> </w:t>
            </w:r>
          </w:p>
        </w:tc>
      </w:tr>
      <w:tr w:rsidR="00AB3A3C" w:rsidRPr="00B161C7" w:rsidTr="00D35636">
        <w:tc>
          <w:tcPr>
            <w:tcW w:w="811" w:type="pct"/>
          </w:tcPr>
          <w:p w:rsidR="00AB3A3C" w:rsidRPr="00B161C7" w:rsidRDefault="00AB3A3C" w:rsidP="00D35636">
            <w:pPr>
              <w:spacing w:after="0" w:line="240" w:lineRule="auto"/>
              <w:rPr>
                <w:rFonts w:ascii="Calibri" w:eastAsia="Calibri" w:hAnsi="Calibri" w:cs="Arial"/>
                <w:sz w:val="20"/>
                <w:szCs w:val="20"/>
              </w:rPr>
            </w:pPr>
            <w:r w:rsidRPr="00B161C7">
              <w:rPr>
                <w:rFonts w:ascii="Calibri" w:eastAsia="Calibri" w:hAnsi="Calibri" w:cs="Arial"/>
                <w:sz w:val="20"/>
                <w:szCs w:val="20"/>
              </w:rPr>
              <w:lastRenderedPageBreak/>
              <w:t>Self-management</w:t>
            </w:r>
          </w:p>
        </w:tc>
        <w:tc>
          <w:tcPr>
            <w:tcW w:w="4189" w:type="pct"/>
          </w:tcPr>
          <w:p w:rsidR="00AB3A3C" w:rsidRPr="00B161C7" w:rsidRDefault="00AB3A3C" w:rsidP="00D35636">
            <w:pPr>
              <w:spacing w:after="0" w:line="240" w:lineRule="auto"/>
              <w:rPr>
                <w:rFonts w:ascii="Calibri" w:eastAsia="Calibri" w:hAnsi="Calibri" w:cs="Arial"/>
                <w:sz w:val="20"/>
                <w:szCs w:val="20"/>
              </w:rPr>
            </w:pPr>
            <w:r w:rsidRPr="00B161C7">
              <w:rPr>
                <w:rFonts w:ascii="Calibri" w:eastAsia="Calibri" w:hAnsi="Calibri" w:cs="Arial"/>
                <w:sz w:val="20"/>
                <w:szCs w:val="20"/>
              </w:rPr>
              <w:t xml:space="preserve">For a number of CPGs self-management was closely related to the provision of patient education and exercise advice (discussed above). Other CPGs referred to self-management as a formal approach, such as participation in self-management programs, or involving patients attending to their own care e.g. through exercise and rehabilitation. </w:t>
            </w:r>
          </w:p>
          <w:p w:rsidR="00AB3A3C" w:rsidRPr="00B161C7" w:rsidRDefault="00AB3A3C" w:rsidP="00D35636">
            <w:pPr>
              <w:spacing w:after="0" w:line="240" w:lineRule="auto"/>
              <w:rPr>
                <w:rFonts w:ascii="Calibri" w:eastAsia="Calibri" w:hAnsi="Calibri" w:cs="Arial"/>
                <w:sz w:val="20"/>
                <w:szCs w:val="20"/>
              </w:rPr>
            </w:pPr>
          </w:p>
          <w:p w:rsidR="00AB3A3C" w:rsidRPr="00B161C7" w:rsidRDefault="00AB3A3C" w:rsidP="00D35636">
            <w:pPr>
              <w:spacing w:after="0" w:line="240" w:lineRule="auto"/>
              <w:rPr>
                <w:rFonts w:ascii="Calibri" w:eastAsia="Calibri" w:hAnsi="Calibri" w:cs="Arial"/>
                <w:sz w:val="20"/>
                <w:szCs w:val="20"/>
              </w:rPr>
            </w:pPr>
            <w:r w:rsidRPr="00B161C7">
              <w:rPr>
                <w:rFonts w:ascii="Calibri" w:eastAsia="Calibri" w:hAnsi="Calibri" w:cs="Arial"/>
                <w:sz w:val="20"/>
                <w:szCs w:val="20"/>
              </w:rPr>
              <w:t xml:space="preserve">Three CPGs for OA made strong recommendations for participation in formal self-management programs, such as programs led by “rheumatologists, nurses, physical and occupational therapists, and health educators” </w:t>
            </w:r>
            <w:r w:rsidRPr="005038FB">
              <w:rPr>
                <w:rFonts w:ascii="Calibri" w:eastAsia="Calibri" w:hAnsi="Calibri" w:cs="Arial"/>
                <w:noProof/>
                <w:sz w:val="20"/>
                <w:szCs w:val="20"/>
                <w:vertAlign w:val="superscript"/>
              </w:rPr>
              <w:t>39</w:t>
            </w:r>
            <w:r w:rsidRPr="00B161C7">
              <w:rPr>
                <w:rFonts w:ascii="Calibri" w:eastAsia="Calibri" w:hAnsi="Calibri" w:cs="Arial"/>
                <w:sz w:val="20"/>
                <w:szCs w:val="20"/>
              </w:rPr>
              <w:t>, completed in groups</w:t>
            </w:r>
            <w:proofErr w:type="gramStart"/>
            <w:r w:rsidRPr="00B161C7">
              <w:rPr>
                <w:rFonts w:ascii="Calibri" w:eastAsia="Calibri" w:hAnsi="Calibri" w:cs="Arial"/>
                <w:sz w:val="20"/>
                <w:szCs w:val="20"/>
              </w:rPr>
              <w:t>,  individually</w:t>
            </w:r>
            <w:proofErr w:type="gramEnd"/>
            <w:r w:rsidRPr="00B161C7">
              <w:rPr>
                <w:rFonts w:ascii="Calibri" w:eastAsia="Calibri" w:hAnsi="Calibri" w:cs="Arial"/>
                <w:sz w:val="20"/>
                <w:szCs w:val="20"/>
              </w:rPr>
              <w:t xml:space="preserve"> </w:t>
            </w:r>
            <w:r w:rsidRPr="005038FB">
              <w:rPr>
                <w:rFonts w:ascii="Calibri" w:eastAsia="Calibri" w:hAnsi="Calibri" w:cs="Arial"/>
                <w:noProof/>
                <w:sz w:val="20"/>
                <w:szCs w:val="20"/>
                <w:vertAlign w:val="superscript"/>
              </w:rPr>
              <w:t>45</w:t>
            </w:r>
            <w:r w:rsidRPr="00B161C7">
              <w:rPr>
                <w:rFonts w:ascii="Calibri" w:eastAsia="Calibri" w:hAnsi="Calibri" w:cs="Arial"/>
                <w:sz w:val="20"/>
                <w:szCs w:val="20"/>
              </w:rPr>
              <w:t xml:space="preserve">, or with telephone support </w:t>
            </w:r>
            <w:r w:rsidRPr="005038FB">
              <w:rPr>
                <w:rFonts w:ascii="Calibri" w:eastAsia="Calibri" w:hAnsi="Calibri" w:cs="Arial"/>
                <w:noProof/>
                <w:sz w:val="20"/>
                <w:szCs w:val="20"/>
                <w:vertAlign w:val="superscript"/>
              </w:rPr>
              <w:t>42</w:t>
            </w:r>
            <w:r w:rsidRPr="00B161C7">
              <w:rPr>
                <w:rFonts w:ascii="Calibri" w:eastAsia="Calibri" w:hAnsi="Calibri" w:cs="Arial"/>
                <w:sz w:val="20"/>
                <w:szCs w:val="20"/>
              </w:rPr>
              <w:t xml:space="preserve">. Not all CPGs specified the content of self-management programs for OA although the NICE CPG emphasised that such programs include the core elements of information, activity and exercise, and weight loss if overweight or obese </w:t>
            </w:r>
            <w:r w:rsidRPr="005038FB">
              <w:rPr>
                <w:rFonts w:ascii="Calibri" w:eastAsia="Calibri" w:hAnsi="Calibri" w:cs="Arial"/>
                <w:noProof/>
                <w:sz w:val="20"/>
                <w:szCs w:val="20"/>
                <w:vertAlign w:val="superscript"/>
              </w:rPr>
              <w:t>45</w:t>
            </w:r>
            <w:r w:rsidRPr="00B161C7">
              <w:rPr>
                <w:rFonts w:ascii="Calibri" w:eastAsia="Calibri" w:hAnsi="Calibri" w:cs="Arial"/>
                <w:sz w:val="20"/>
                <w:szCs w:val="20"/>
              </w:rPr>
              <w:t xml:space="preserve">. </w:t>
            </w:r>
          </w:p>
          <w:p w:rsidR="00AB3A3C" w:rsidRPr="00B161C7" w:rsidRDefault="00AB3A3C" w:rsidP="00D35636">
            <w:pPr>
              <w:spacing w:after="0" w:line="240" w:lineRule="auto"/>
              <w:rPr>
                <w:rFonts w:ascii="Calibri" w:eastAsia="Calibri" w:hAnsi="Calibri" w:cs="Arial"/>
                <w:sz w:val="20"/>
                <w:szCs w:val="20"/>
              </w:rPr>
            </w:pPr>
          </w:p>
          <w:p w:rsidR="00AB3A3C" w:rsidRPr="00B161C7" w:rsidRDefault="00AB3A3C" w:rsidP="00D35636">
            <w:pPr>
              <w:spacing w:after="0" w:line="240" w:lineRule="auto"/>
              <w:rPr>
                <w:rFonts w:ascii="Calibri" w:eastAsia="Calibri" w:hAnsi="Calibri" w:cs="Arial"/>
                <w:sz w:val="20"/>
                <w:szCs w:val="20"/>
              </w:rPr>
            </w:pPr>
            <w:r w:rsidRPr="00B161C7">
              <w:rPr>
                <w:rFonts w:ascii="Calibri" w:eastAsia="Calibri" w:hAnsi="Calibri" w:cs="Arial"/>
                <w:sz w:val="20"/>
                <w:szCs w:val="20"/>
              </w:rPr>
              <w:lastRenderedPageBreak/>
              <w:t xml:space="preserve">CPGs for neck pain </w:t>
            </w:r>
            <w:r w:rsidRPr="005038FB">
              <w:rPr>
                <w:rFonts w:ascii="Calibri" w:eastAsia="Calibri" w:hAnsi="Calibri" w:cs="Arial"/>
                <w:noProof/>
                <w:sz w:val="20"/>
                <w:szCs w:val="20"/>
                <w:vertAlign w:val="superscript"/>
              </w:rPr>
              <w:t>33 34</w:t>
            </w:r>
            <w:r w:rsidRPr="00B161C7">
              <w:rPr>
                <w:rFonts w:ascii="Calibri" w:eastAsia="Calibri" w:hAnsi="Calibri" w:cs="Arial"/>
                <w:sz w:val="20"/>
                <w:szCs w:val="20"/>
              </w:rPr>
              <w:t xml:space="preserve"> and LBP </w:t>
            </w:r>
            <w:r w:rsidRPr="005038FB">
              <w:rPr>
                <w:rFonts w:ascii="Calibri" w:eastAsia="Calibri" w:hAnsi="Calibri" w:cs="Arial"/>
                <w:noProof/>
                <w:sz w:val="20"/>
                <w:szCs w:val="20"/>
                <w:vertAlign w:val="superscript"/>
              </w:rPr>
              <w:t>37</w:t>
            </w:r>
            <w:r w:rsidRPr="00B161C7">
              <w:rPr>
                <w:rFonts w:ascii="Calibri" w:eastAsia="Calibri" w:hAnsi="Calibri" w:cs="Arial"/>
                <w:sz w:val="20"/>
                <w:szCs w:val="20"/>
              </w:rPr>
              <w:t xml:space="preserve"> made weaker recommendations for patient self-management, and emphasised patient self-care, such as exercise. One CPG for persistent NAD grades I to II made a weak recommendation, based on patient preference, for “stress self-management”, consisting of relaxation, balance and body awareness exercises, pain and stress self-management lectures, and discussion </w:t>
            </w:r>
            <w:r w:rsidRPr="005038FB">
              <w:rPr>
                <w:rFonts w:ascii="Calibri" w:eastAsia="Calibri" w:hAnsi="Calibri" w:cs="Arial"/>
                <w:noProof/>
                <w:sz w:val="20"/>
                <w:szCs w:val="20"/>
                <w:vertAlign w:val="superscript"/>
              </w:rPr>
              <w:t>33</w:t>
            </w:r>
            <w:r w:rsidRPr="00B161C7">
              <w:rPr>
                <w:rFonts w:ascii="Calibri" w:eastAsia="Calibri" w:hAnsi="Calibri" w:cs="Arial"/>
                <w:sz w:val="20"/>
                <w:szCs w:val="20"/>
              </w:rPr>
              <w:t xml:space="preserve">.  </w:t>
            </w:r>
          </w:p>
          <w:p w:rsidR="00AB3A3C" w:rsidRPr="00B161C7" w:rsidRDefault="00AB3A3C" w:rsidP="00D35636">
            <w:pPr>
              <w:spacing w:after="0" w:line="240" w:lineRule="auto"/>
              <w:rPr>
                <w:rFonts w:ascii="Calibri" w:eastAsia="Calibri" w:hAnsi="Calibri" w:cs="Arial"/>
                <w:sz w:val="20"/>
                <w:szCs w:val="20"/>
              </w:rPr>
            </w:pPr>
          </w:p>
          <w:p w:rsidR="00AB3A3C" w:rsidRPr="00B161C7" w:rsidRDefault="00AB3A3C" w:rsidP="00D35636">
            <w:pPr>
              <w:spacing w:after="0" w:line="240" w:lineRule="auto"/>
              <w:rPr>
                <w:rFonts w:ascii="Calibri" w:eastAsia="Calibri" w:hAnsi="Calibri" w:cs="Arial"/>
                <w:sz w:val="20"/>
                <w:szCs w:val="20"/>
                <w:highlight w:val="green"/>
              </w:rPr>
            </w:pPr>
            <w:r w:rsidRPr="00B161C7">
              <w:rPr>
                <w:rFonts w:ascii="Calibri" w:eastAsia="Calibri" w:hAnsi="Calibri" w:cs="Arial"/>
                <w:sz w:val="20"/>
                <w:szCs w:val="20"/>
                <w:highlight w:val="green"/>
              </w:rPr>
              <w:t xml:space="preserve">Consensus for one MSK pain condition: </w:t>
            </w:r>
          </w:p>
          <w:p w:rsidR="00AB3A3C" w:rsidRPr="00B161C7" w:rsidRDefault="00AB3A3C" w:rsidP="00AB3A3C">
            <w:pPr>
              <w:numPr>
                <w:ilvl w:val="0"/>
                <w:numId w:val="3"/>
              </w:numPr>
              <w:spacing w:after="0" w:line="240" w:lineRule="auto"/>
              <w:contextualSpacing/>
              <w:rPr>
                <w:rFonts w:ascii="Calibri" w:eastAsia="Calibri" w:hAnsi="Calibri" w:cs="Arial"/>
                <w:sz w:val="20"/>
                <w:szCs w:val="20"/>
              </w:rPr>
            </w:pPr>
            <w:r w:rsidRPr="00B161C7">
              <w:rPr>
                <w:rFonts w:ascii="Calibri" w:eastAsia="Calibri" w:hAnsi="Calibri" w:cs="Arial"/>
                <w:sz w:val="20"/>
                <w:szCs w:val="20"/>
                <w:highlight w:val="green"/>
              </w:rPr>
              <w:t>Self-management programs should be offered to patients with osteoarthritis.</w:t>
            </w:r>
          </w:p>
          <w:p w:rsidR="00AB3A3C" w:rsidRPr="00B161C7" w:rsidRDefault="00AB3A3C" w:rsidP="00D35636">
            <w:pPr>
              <w:spacing w:after="0" w:line="240" w:lineRule="auto"/>
              <w:rPr>
                <w:rFonts w:ascii="Calibri" w:eastAsia="Calibri" w:hAnsi="Calibri" w:cs="Arial"/>
                <w:sz w:val="20"/>
                <w:szCs w:val="20"/>
              </w:rPr>
            </w:pPr>
            <w:r w:rsidRPr="00B161C7">
              <w:rPr>
                <w:rFonts w:ascii="Calibri" w:eastAsia="Calibri" w:hAnsi="Calibri" w:cs="Arial"/>
                <w:sz w:val="20"/>
                <w:szCs w:val="20"/>
              </w:rPr>
              <w:t xml:space="preserve">   </w:t>
            </w:r>
          </w:p>
        </w:tc>
      </w:tr>
      <w:tr w:rsidR="00AB3A3C" w:rsidRPr="00B161C7" w:rsidTr="00D35636">
        <w:tc>
          <w:tcPr>
            <w:tcW w:w="811" w:type="pct"/>
          </w:tcPr>
          <w:p w:rsidR="00AB3A3C" w:rsidRPr="00B161C7" w:rsidRDefault="00AB3A3C" w:rsidP="00D35636">
            <w:pPr>
              <w:spacing w:after="0" w:line="240" w:lineRule="auto"/>
              <w:rPr>
                <w:rFonts w:ascii="Calibri" w:eastAsia="Calibri" w:hAnsi="Calibri" w:cs="Arial"/>
                <w:sz w:val="20"/>
                <w:szCs w:val="20"/>
              </w:rPr>
            </w:pPr>
            <w:r w:rsidRPr="00B161C7">
              <w:rPr>
                <w:rFonts w:ascii="Calibri" w:eastAsia="Calibri" w:hAnsi="Calibri" w:cs="Arial"/>
                <w:sz w:val="20"/>
                <w:szCs w:val="20"/>
              </w:rPr>
              <w:lastRenderedPageBreak/>
              <w:t xml:space="preserve">Lifestyle changes </w:t>
            </w:r>
          </w:p>
        </w:tc>
        <w:tc>
          <w:tcPr>
            <w:tcW w:w="4189" w:type="pct"/>
          </w:tcPr>
          <w:p w:rsidR="00AB3A3C" w:rsidRPr="00B161C7" w:rsidRDefault="00AB3A3C" w:rsidP="00D35636">
            <w:pPr>
              <w:spacing w:after="0" w:line="240" w:lineRule="auto"/>
              <w:rPr>
                <w:rFonts w:ascii="Calibri" w:eastAsia="Calibri" w:hAnsi="Calibri" w:cs="Arial"/>
                <w:sz w:val="20"/>
                <w:szCs w:val="20"/>
                <w:u w:val="single"/>
              </w:rPr>
            </w:pPr>
            <w:r w:rsidRPr="00B161C7">
              <w:rPr>
                <w:rFonts w:ascii="Calibri" w:eastAsia="Calibri" w:hAnsi="Calibri" w:cs="Arial"/>
                <w:sz w:val="20"/>
                <w:szCs w:val="20"/>
                <w:u w:val="single"/>
              </w:rPr>
              <w:t>Weight loss for OA</w:t>
            </w:r>
          </w:p>
          <w:p w:rsidR="00AB3A3C" w:rsidRPr="00B161C7" w:rsidRDefault="00AB3A3C" w:rsidP="00D35636">
            <w:pPr>
              <w:spacing w:after="0" w:line="240" w:lineRule="auto"/>
              <w:rPr>
                <w:rFonts w:ascii="Calibri" w:eastAsia="Calibri" w:hAnsi="Calibri" w:cs="Arial"/>
                <w:sz w:val="20"/>
                <w:szCs w:val="20"/>
              </w:rPr>
            </w:pPr>
            <w:r w:rsidRPr="00B161C7">
              <w:rPr>
                <w:rFonts w:ascii="Calibri" w:eastAsia="Calibri" w:hAnsi="Calibri" w:cs="Arial"/>
                <w:sz w:val="20"/>
                <w:szCs w:val="20"/>
              </w:rPr>
              <w:t xml:space="preserve">Three CPGs for OA strongly recommended weight loss for people with OA who are overweight or obese </w:t>
            </w:r>
            <w:r w:rsidRPr="005038FB">
              <w:rPr>
                <w:rFonts w:ascii="Calibri" w:eastAsia="Calibri" w:hAnsi="Calibri" w:cs="Arial"/>
                <w:noProof/>
                <w:sz w:val="20"/>
                <w:szCs w:val="20"/>
                <w:vertAlign w:val="superscript"/>
              </w:rPr>
              <w:t>36 42 45</w:t>
            </w:r>
            <w:r w:rsidRPr="00B161C7">
              <w:rPr>
                <w:rFonts w:ascii="Calibri" w:eastAsia="Calibri" w:hAnsi="Calibri" w:cs="Arial"/>
                <w:sz w:val="20"/>
                <w:szCs w:val="20"/>
              </w:rPr>
              <w:t xml:space="preserve"> and one CPG made a ‘could do’ recommendation based on moderate evidence </w:t>
            </w:r>
            <w:r w:rsidRPr="005038FB">
              <w:rPr>
                <w:rFonts w:ascii="Calibri" w:eastAsia="Calibri" w:hAnsi="Calibri" w:cs="Arial"/>
                <w:noProof/>
                <w:sz w:val="20"/>
                <w:szCs w:val="20"/>
                <w:vertAlign w:val="superscript"/>
              </w:rPr>
              <w:t>39</w:t>
            </w:r>
            <w:r w:rsidRPr="00B161C7">
              <w:rPr>
                <w:rFonts w:ascii="Calibri" w:eastAsia="Calibri" w:hAnsi="Calibri" w:cs="Arial"/>
                <w:sz w:val="20"/>
                <w:szCs w:val="20"/>
              </w:rPr>
              <w:t xml:space="preserve">. Alongside the provision of information, activity, and exercise, weight loss is one of the core recommendations of the NICE OA CPG </w:t>
            </w:r>
            <w:r w:rsidRPr="005038FB">
              <w:rPr>
                <w:rFonts w:ascii="Calibri" w:eastAsia="Calibri" w:hAnsi="Calibri" w:cs="Arial"/>
                <w:noProof/>
                <w:sz w:val="20"/>
                <w:szCs w:val="20"/>
                <w:vertAlign w:val="superscript"/>
              </w:rPr>
              <w:t>45</w:t>
            </w:r>
            <w:r w:rsidRPr="00B161C7">
              <w:rPr>
                <w:rFonts w:ascii="Calibri" w:eastAsia="Calibri" w:hAnsi="Calibri" w:cs="Arial"/>
                <w:sz w:val="20"/>
                <w:szCs w:val="20"/>
              </w:rPr>
              <w:t xml:space="preserve">. </w:t>
            </w:r>
          </w:p>
          <w:p w:rsidR="00AB3A3C" w:rsidRPr="00B161C7" w:rsidRDefault="00AB3A3C" w:rsidP="00D35636">
            <w:pPr>
              <w:spacing w:after="0" w:line="240" w:lineRule="auto"/>
              <w:rPr>
                <w:rFonts w:ascii="Calibri" w:eastAsia="Calibri" w:hAnsi="Calibri" w:cs="Arial"/>
                <w:sz w:val="20"/>
                <w:szCs w:val="20"/>
              </w:rPr>
            </w:pPr>
          </w:p>
          <w:p w:rsidR="00AB3A3C" w:rsidRPr="00B161C7" w:rsidRDefault="00AB3A3C" w:rsidP="00D35636">
            <w:pPr>
              <w:spacing w:after="0" w:line="240" w:lineRule="auto"/>
              <w:rPr>
                <w:rFonts w:ascii="Calibri" w:eastAsia="Calibri" w:hAnsi="Calibri" w:cs="Arial"/>
                <w:sz w:val="20"/>
                <w:szCs w:val="20"/>
                <w:highlight w:val="green"/>
              </w:rPr>
            </w:pPr>
            <w:r w:rsidRPr="00B161C7">
              <w:rPr>
                <w:rFonts w:ascii="Calibri" w:eastAsia="Calibri" w:hAnsi="Calibri" w:cs="Arial"/>
                <w:sz w:val="20"/>
                <w:szCs w:val="20"/>
                <w:highlight w:val="green"/>
              </w:rPr>
              <w:t xml:space="preserve">Consensus for one MSK pain condition: </w:t>
            </w:r>
          </w:p>
          <w:p w:rsidR="00AB3A3C" w:rsidRPr="00B161C7" w:rsidRDefault="00AB3A3C" w:rsidP="00AB3A3C">
            <w:pPr>
              <w:numPr>
                <w:ilvl w:val="0"/>
                <w:numId w:val="3"/>
              </w:numPr>
              <w:spacing w:after="0" w:line="240" w:lineRule="auto"/>
              <w:contextualSpacing/>
              <w:rPr>
                <w:rFonts w:ascii="Calibri" w:eastAsia="Calibri" w:hAnsi="Calibri" w:cs="Arial"/>
                <w:sz w:val="20"/>
                <w:szCs w:val="20"/>
              </w:rPr>
            </w:pPr>
            <w:r w:rsidRPr="00B161C7">
              <w:rPr>
                <w:rFonts w:ascii="Calibri" w:eastAsia="Calibri" w:hAnsi="Calibri" w:cs="Arial"/>
                <w:sz w:val="20"/>
                <w:szCs w:val="20"/>
                <w:highlight w:val="green"/>
              </w:rPr>
              <w:t>Interventions targeting weight loss should be offered to people with OA who are overweight or obese.</w:t>
            </w:r>
            <w:r w:rsidRPr="00B161C7">
              <w:rPr>
                <w:rFonts w:ascii="Calibri" w:eastAsia="Calibri" w:hAnsi="Calibri" w:cs="Arial"/>
                <w:sz w:val="20"/>
                <w:szCs w:val="20"/>
              </w:rPr>
              <w:t xml:space="preserve"> </w:t>
            </w:r>
          </w:p>
          <w:p w:rsidR="00AB3A3C" w:rsidRPr="00B161C7" w:rsidRDefault="00AB3A3C" w:rsidP="00D35636">
            <w:pPr>
              <w:spacing w:after="0" w:line="240" w:lineRule="auto"/>
              <w:rPr>
                <w:rFonts w:ascii="Calibri" w:eastAsia="Calibri" w:hAnsi="Calibri" w:cs="Arial"/>
                <w:sz w:val="20"/>
                <w:szCs w:val="20"/>
              </w:rPr>
            </w:pPr>
          </w:p>
        </w:tc>
      </w:tr>
      <w:tr w:rsidR="00AB3A3C" w:rsidRPr="00B161C7" w:rsidTr="00D35636">
        <w:tc>
          <w:tcPr>
            <w:tcW w:w="811" w:type="pct"/>
          </w:tcPr>
          <w:p w:rsidR="00AB3A3C" w:rsidRPr="00B161C7" w:rsidRDefault="00AB3A3C" w:rsidP="00D35636">
            <w:pPr>
              <w:spacing w:after="0" w:line="240" w:lineRule="auto"/>
              <w:rPr>
                <w:rFonts w:ascii="Calibri" w:eastAsia="Calibri" w:hAnsi="Calibri" w:cs="Arial"/>
                <w:sz w:val="20"/>
                <w:szCs w:val="20"/>
              </w:rPr>
            </w:pPr>
            <w:r w:rsidRPr="00B161C7">
              <w:rPr>
                <w:rFonts w:ascii="Calibri" w:eastAsia="Calibri" w:hAnsi="Calibri" w:cs="Arial"/>
                <w:sz w:val="20"/>
                <w:szCs w:val="20"/>
              </w:rPr>
              <w:t>Pharmacological</w:t>
            </w:r>
          </w:p>
        </w:tc>
        <w:tc>
          <w:tcPr>
            <w:tcW w:w="4189" w:type="pct"/>
          </w:tcPr>
          <w:p w:rsidR="00AB3A3C" w:rsidRPr="00B161C7" w:rsidRDefault="00AB3A3C" w:rsidP="00D35636">
            <w:pPr>
              <w:spacing w:after="0" w:line="240" w:lineRule="auto"/>
              <w:rPr>
                <w:rFonts w:ascii="Calibri" w:eastAsia="Calibri" w:hAnsi="Calibri" w:cs="Arial"/>
                <w:sz w:val="20"/>
                <w:szCs w:val="20"/>
                <w:u w:val="single"/>
              </w:rPr>
            </w:pPr>
            <w:r w:rsidRPr="00B161C7">
              <w:rPr>
                <w:rFonts w:ascii="Calibri" w:eastAsia="Calibri" w:hAnsi="Calibri" w:cs="Arial"/>
                <w:sz w:val="20"/>
                <w:szCs w:val="20"/>
                <w:u w:val="single"/>
              </w:rPr>
              <w:t xml:space="preserve">Simple Analgesia </w:t>
            </w:r>
          </w:p>
          <w:p w:rsidR="00AB3A3C" w:rsidRPr="00B161C7" w:rsidRDefault="00AB3A3C" w:rsidP="00D35636">
            <w:pPr>
              <w:spacing w:after="0" w:line="240" w:lineRule="auto"/>
              <w:rPr>
                <w:rFonts w:ascii="Calibri" w:eastAsia="Calibri" w:hAnsi="Calibri" w:cs="Arial"/>
                <w:sz w:val="20"/>
                <w:szCs w:val="20"/>
              </w:rPr>
            </w:pPr>
            <w:r w:rsidRPr="00B161C7">
              <w:rPr>
                <w:rFonts w:ascii="Calibri" w:eastAsia="Calibri" w:hAnsi="Calibri" w:cs="Arial"/>
                <w:sz w:val="20"/>
                <w:szCs w:val="20"/>
              </w:rPr>
              <w:t xml:space="preserve">Most CPGs emphasised simple analgesics for the initial pharmacological management of MSK pain. Three CPGs for OA recommended non-steroidal anti-inflammatory drugs (NSAIDS) for initial pharmacological pain relief </w:t>
            </w:r>
            <w:r w:rsidRPr="005038FB">
              <w:rPr>
                <w:rFonts w:ascii="Calibri" w:eastAsia="Calibri" w:hAnsi="Calibri" w:cs="Arial"/>
                <w:noProof/>
                <w:sz w:val="20"/>
                <w:szCs w:val="20"/>
                <w:vertAlign w:val="superscript"/>
              </w:rPr>
              <w:t>39 42 45</w:t>
            </w:r>
            <w:r w:rsidRPr="00B161C7">
              <w:rPr>
                <w:rFonts w:ascii="Calibri" w:eastAsia="Calibri" w:hAnsi="Calibri" w:cs="Arial"/>
                <w:sz w:val="20"/>
                <w:szCs w:val="20"/>
              </w:rPr>
              <w:t xml:space="preserve">. The NICE and OARSI CPGs recommended topical NSAIDS prior to oral forms. The NICE CPG recommended co-prescription of NSAIDS with a proton pump inhibitor (PPI) </w:t>
            </w:r>
            <w:r w:rsidRPr="005038FB">
              <w:rPr>
                <w:rFonts w:ascii="Calibri" w:eastAsia="Calibri" w:hAnsi="Calibri" w:cs="Arial"/>
                <w:noProof/>
                <w:sz w:val="20"/>
                <w:szCs w:val="20"/>
                <w:vertAlign w:val="superscript"/>
              </w:rPr>
              <w:t>45</w:t>
            </w:r>
            <w:r w:rsidRPr="00B161C7">
              <w:rPr>
                <w:rFonts w:ascii="Calibri" w:eastAsia="Calibri" w:hAnsi="Calibri" w:cs="Arial"/>
                <w:sz w:val="20"/>
                <w:szCs w:val="20"/>
              </w:rPr>
              <w:t xml:space="preserve"> whereas the OARSI CPG recommended co-prescription of a PPI when patients were at high co-morbidity risk, although advised against oral NSAIDS in this patient group </w:t>
            </w:r>
            <w:r w:rsidRPr="005038FB">
              <w:rPr>
                <w:rFonts w:ascii="Calibri" w:eastAsia="Calibri" w:hAnsi="Calibri" w:cs="Arial"/>
                <w:noProof/>
                <w:sz w:val="20"/>
                <w:szCs w:val="20"/>
                <w:vertAlign w:val="superscript"/>
              </w:rPr>
              <w:t>42</w:t>
            </w:r>
            <w:r w:rsidRPr="00B161C7">
              <w:rPr>
                <w:rFonts w:ascii="Calibri" w:eastAsia="Calibri" w:hAnsi="Calibri" w:cs="Arial"/>
                <w:sz w:val="20"/>
                <w:szCs w:val="20"/>
              </w:rPr>
              <w:t xml:space="preserve">. Acetaminophen/paracetamol was recommended by the OARSI (amongst patients without co-morbidities) </w:t>
            </w:r>
            <w:r w:rsidRPr="005038FB">
              <w:rPr>
                <w:rFonts w:ascii="Calibri" w:eastAsia="Calibri" w:hAnsi="Calibri" w:cs="Arial"/>
                <w:noProof/>
                <w:sz w:val="20"/>
                <w:szCs w:val="20"/>
                <w:vertAlign w:val="superscript"/>
              </w:rPr>
              <w:t>42</w:t>
            </w:r>
            <w:r w:rsidRPr="00B161C7">
              <w:rPr>
                <w:rFonts w:ascii="Calibri" w:eastAsia="Calibri" w:hAnsi="Calibri" w:cs="Arial"/>
                <w:sz w:val="20"/>
                <w:szCs w:val="20"/>
              </w:rPr>
              <w:t xml:space="preserve"> and NICE CPGs </w:t>
            </w:r>
            <w:r w:rsidRPr="005038FB">
              <w:rPr>
                <w:rFonts w:ascii="Calibri" w:eastAsia="Calibri" w:hAnsi="Calibri" w:cs="Arial"/>
                <w:noProof/>
                <w:sz w:val="20"/>
                <w:szCs w:val="20"/>
                <w:vertAlign w:val="superscript"/>
              </w:rPr>
              <w:t>45</w:t>
            </w:r>
            <w:r w:rsidRPr="00B161C7">
              <w:rPr>
                <w:rFonts w:ascii="Calibri" w:eastAsia="Calibri" w:hAnsi="Calibri" w:cs="Arial"/>
                <w:sz w:val="20"/>
                <w:szCs w:val="20"/>
              </w:rPr>
              <w:t xml:space="preserve"> with no recommendation made by the AAOS due to uncertainty </w:t>
            </w:r>
            <w:r w:rsidRPr="005038FB">
              <w:rPr>
                <w:rFonts w:ascii="Calibri" w:eastAsia="Calibri" w:hAnsi="Calibri" w:cs="Arial"/>
                <w:noProof/>
                <w:sz w:val="20"/>
                <w:szCs w:val="20"/>
                <w:vertAlign w:val="superscript"/>
              </w:rPr>
              <w:t>39</w:t>
            </w:r>
            <w:r w:rsidRPr="00B161C7">
              <w:rPr>
                <w:rFonts w:ascii="Calibri" w:eastAsia="Calibri" w:hAnsi="Calibri" w:cs="Arial"/>
                <w:sz w:val="20"/>
                <w:szCs w:val="20"/>
              </w:rPr>
              <w:t xml:space="preserve">. NICE recommended first line pharmacological management with paracetamol and topical NSAIDS before consideration of adding an oral NSAIDS to paracetamol. </w:t>
            </w:r>
          </w:p>
          <w:p w:rsidR="00AB3A3C" w:rsidRPr="00B161C7" w:rsidRDefault="00AB3A3C" w:rsidP="00D35636">
            <w:pPr>
              <w:spacing w:after="0" w:line="240" w:lineRule="auto"/>
              <w:rPr>
                <w:rFonts w:ascii="Calibri" w:eastAsia="Calibri" w:hAnsi="Calibri" w:cs="Arial"/>
                <w:sz w:val="20"/>
                <w:szCs w:val="20"/>
              </w:rPr>
            </w:pPr>
          </w:p>
          <w:p w:rsidR="00AB3A3C" w:rsidRPr="00B161C7" w:rsidRDefault="00AB3A3C" w:rsidP="00D35636">
            <w:pPr>
              <w:spacing w:after="0" w:line="240" w:lineRule="auto"/>
              <w:rPr>
                <w:rFonts w:ascii="Calibri" w:eastAsia="Calibri" w:hAnsi="Calibri" w:cs="Arial"/>
                <w:sz w:val="20"/>
                <w:szCs w:val="20"/>
              </w:rPr>
            </w:pPr>
            <w:r w:rsidRPr="00B161C7">
              <w:rPr>
                <w:rFonts w:ascii="Calibri" w:eastAsia="Calibri" w:hAnsi="Calibri" w:cs="Arial"/>
                <w:sz w:val="20"/>
                <w:szCs w:val="20"/>
              </w:rPr>
              <w:t xml:space="preserve">CPGs recommended against paracetamol as a stand-alone treatment for LBP </w:t>
            </w:r>
            <w:r w:rsidRPr="005038FB">
              <w:rPr>
                <w:rFonts w:ascii="Calibri" w:eastAsia="Calibri" w:hAnsi="Calibri" w:cs="Arial"/>
                <w:noProof/>
                <w:sz w:val="20"/>
                <w:szCs w:val="20"/>
                <w:vertAlign w:val="superscript"/>
              </w:rPr>
              <w:t>35 38 40</w:t>
            </w:r>
            <w:r w:rsidRPr="00B161C7">
              <w:rPr>
                <w:rFonts w:ascii="Calibri" w:eastAsia="Calibri" w:hAnsi="Calibri" w:cs="Arial"/>
                <w:sz w:val="20"/>
                <w:szCs w:val="20"/>
              </w:rPr>
              <w:t xml:space="preserve">. Oral NSAIDS were the preferred pharmacological management for LBP although all CPGs recommended judicious prescribing, giving due consideration to risk factors, gastro protective treatment, and using the lowest effective dose for the shortest possible time </w:t>
            </w:r>
            <w:r w:rsidRPr="005038FB">
              <w:rPr>
                <w:rFonts w:ascii="Calibri" w:eastAsia="Calibri" w:hAnsi="Calibri" w:cs="Arial"/>
                <w:noProof/>
                <w:sz w:val="20"/>
                <w:szCs w:val="20"/>
                <w:vertAlign w:val="superscript"/>
              </w:rPr>
              <w:t>35 38</w:t>
            </w:r>
            <w:r w:rsidRPr="00B161C7">
              <w:rPr>
                <w:rFonts w:ascii="Calibri" w:eastAsia="Calibri" w:hAnsi="Calibri" w:cs="Arial"/>
                <w:sz w:val="20"/>
                <w:szCs w:val="20"/>
              </w:rPr>
              <w:t xml:space="preserve">. The Danish LBP CPG weakly recommended against adding NSAIDS to usual care (information and advice about activity disease progression, prognosis and possible medical pain management) as evidence suggested no short term effect </w:t>
            </w:r>
            <w:r w:rsidRPr="005038FB">
              <w:rPr>
                <w:rFonts w:ascii="Calibri" w:eastAsia="Calibri" w:hAnsi="Calibri" w:cs="Arial"/>
                <w:noProof/>
                <w:sz w:val="20"/>
                <w:szCs w:val="20"/>
                <w:vertAlign w:val="superscript"/>
              </w:rPr>
              <w:t>40</w:t>
            </w:r>
            <w:r w:rsidRPr="00B161C7">
              <w:rPr>
                <w:rFonts w:ascii="Calibri" w:eastAsia="Calibri" w:hAnsi="Calibri" w:cs="Arial"/>
                <w:sz w:val="20"/>
                <w:szCs w:val="20"/>
              </w:rPr>
              <w:t xml:space="preserve">.  </w:t>
            </w:r>
          </w:p>
          <w:p w:rsidR="00AB3A3C" w:rsidRPr="00B161C7" w:rsidRDefault="00AB3A3C" w:rsidP="00D35636">
            <w:pPr>
              <w:spacing w:after="0" w:line="240" w:lineRule="auto"/>
              <w:rPr>
                <w:rFonts w:ascii="Calibri" w:eastAsia="Calibri" w:hAnsi="Calibri" w:cs="Arial"/>
                <w:sz w:val="20"/>
                <w:szCs w:val="20"/>
              </w:rPr>
            </w:pPr>
          </w:p>
          <w:p w:rsidR="00AB3A3C" w:rsidRPr="00B161C7" w:rsidRDefault="00AB3A3C" w:rsidP="00D35636">
            <w:pPr>
              <w:spacing w:after="0" w:line="240" w:lineRule="auto"/>
              <w:rPr>
                <w:rFonts w:ascii="Calibri" w:eastAsia="Calibri" w:hAnsi="Calibri" w:cs="Arial"/>
                <w:sz w:val="20"/>
                <w:szCs w:val="20"/>
              </w:rPr>
            </w:pPr>
            <w:r w:rsidRPr="00B161C7">
              <w:rPr>
                <w:rFonts w:ascii="Calibri" w:eastAsia="Calibri" w:hAnsi="Calibri" w:cs="Arial"/>
                <w:sz w:val="20"/>
                <w:szCs w:val="20"/>
              </w:rPr>
              <w:t xml:space="preserve">Two neck pain CPGs had differing recommendations regarding simple analgesia. For recent onset NAD the chiropractic CPG included a weak recommendation for NSAIDS or acetaminophen </w:t>
            </w:r>
            <w:r w:rsidRPr="005038FB">
              <w:rPr>
                <w:rFonts w:ascii="Calibri" w:eastAsia="Calibri" w:hAnsi="Calibri" w:cs="Arial"/>
                <w:noProof/>
                <w:sz w:val="20"/>
                <w:szCs w:val="20"/>
                <w:vertAlign w:val="superscript"/>
              </w:rPr>
              <w:t>33</w:t>
            </w:r>
            <w:r w:rsidRPr="00B161C7">
              <w:rPr>
                <w:rFonts w:ascii="Calibri" w:eastAsia="Calibri" w:hAnsi="Calibri" w:cs="Arial"/>
                <w:sz w:val="20"/>
                <w:szCs w:val="20"/>
              </w:rPr>
              <w:t xml:space="preserve">. The OPTIMA guidelines recommended against stand-alone acetaminophen for both recent and persistent NAD grade I-II and NSAIDS only for persistent NAD grades I-II </w:t>
            </w:r>
            <w:r w:rsidRPr="005038FB">
              <w:rPr>
                <w:rFonts w:ascii="Calibri" w:eastAsia="Calibri" w:hAnsi="Calibri" w:cs="Arial"/>
                <w:noProof/>
                <w:sz w:val="20"/>
                <w:szCs w:val="20"/>
                <w:vertAlign w:val="superscript"/>
              </w:rPr>
              <w:t>34</w:t>
            </w:r>
            <w:r w:rsidRPr="00B161C7">
              <w:rPr>
                <w:rFonts w:ascii="Calibri" w:eastAsia="Calibri" w:hAnsi="Calibri" w:cs="Arial"/>
                <w:sz w:val="20"/>
                <w:szCs w:val="20"/>
              </w:rPr>
              <w:t xml:space="preserve">. The single rotator cuff CPG strongly recommended paracetamol initially for acute pain, progressing to topical or oral NSAIDS alone or in conjunction with paracetamol if required </w:t>
            </w:r>
            <w:r w:rsidRPr="005038FB">
              <w:rPr>
                <w:rFonts w:ascii="Calibri" w:eastAsia="Calibri" w:hAnsi="Calibri" w:cs="Arial"/>
                <w:noProof/>
                <w:sz w:val="20"/>
                <w:szCs w:val="20"/>
                <w:vertAlign w:val="superscript"/>
              </w:rPr>
              <w:t>41</w:t>
            </w:r>
            <w:r w:rsidRPr="00B161C7">
              <w:rPr>
                <w:rFonts w:ascii="Calibri" w:eastAsia="Calibri" w:hAnsi="Calibri" w:cs="Arial"/>
                <w:sz w:val="20"/>
                <w:szCs w:val="20"/>
              </w:rPr>
              <w:t xml:space="preserve">.    </w:t>
            </w:r>
          </w:p>
          <w:p w:rsidR="00AB3A3C" w:rsidRPr="00B161C7" w:rsidRDefault="00AB3A3C" w:rsidP="00D35636">
            <w:pPr>
              <w:spacing w:after="0" w:line="240" w:lineRule="auto"/>
              <w:rPr>
                <w:rFonts w:ascii="Calibri" w:eastAsia="Calibri" w:hAnsi="Calibri" w:cs="Arial"/>
                <w:sz w:val="20"/>
                <w:szCs w:val="20"/>
              </w:rPr>
            </w:pPr>
          </w:p>
          <w:p w:rsidR="00AB3A3C" w:rsidRPr="00B161C7" w:rsidRDefault="00AB3A3C" w:rsidP="00D35636">
            <w:pPr>
              <w:spacing w:after="0" w:line="240" w:lineRule="auto"/>
              <w:rPr>
                <w:rFonts w:ascii="Calibri" w:eastAsia="Calibri" w:hAnsi="Calibri" w:cs="Arial"/>
                <w:sz w:val="20"/>
                <w:szCs w:val="20"/>
                <w:u w:val="single"/>
              </w:rPr>
            </w:pPr>
            <w:r w:rsidRPr="00B161C7">
              <w:rPr>
                <w:rFonts w:ascii="Calibri" w:eastAsia="Calibri" w:hAnsi="Calibri" w:cs="Arial"/>
                <w:sz w:val="20"/>
                <w:szCs w:val="20"/>
                <w:u w:val="single"/>
              </w:rPr>
              <w:t xml:space="preserve">Opioids </w:t>
            </w:r>
          </w:p>
          <w:p w:rsidR="00AB3A3C" w:rsidRPr="00B161C7" w:rsidRDefault="00AB3A3C" w:rsidP="00D35636">
            <w:pPr>
              <w:spacing w:after="0" w:line="240" w:lineRule="auto"/>
              <w:rPr>
                <w:rFonts w:ascii="Calibri" w:eastAsia="Calibri" w:hAnsi="Calibri" w:cs="Arial"/>
                <w:sz w:val="20"/>
                <w:szCs w:val="20"/>
              </w:rPr>
            </w:pPr>
            <w:r w:rsidRPr="00B161C7">
              <w:rPr>
                <w:rFonts w:ascii="Calibri" w:eastAsia="Calibri" w:hAnsi="Calibri" w:cs="Arial"/>
                <w:sz w:val="20"/>
                <w:szCs w:val="20"/>
              </w:rPr>
              <w:lastRenderedPageBreak/>
              <w:t xml:space="preserve">Two of three CPGs for OA were uncertain regarding the use of opioids due to a lack of relevant studies </w:t>
            </w:r>
            <w:r w:rsidRPr="005038FB">
              <w:rPr>
                <w:rFonts w:ascii="Calibri" w:eastAsia="Calibri" w:hAnsi="Calibri" w:cs="Arial"/>
                <w:noProof/>
                <w:sz w:val="20"/>
                <w:szCs w:val="20"/>
                <w:vertAlign w:val="superscript"/>
              </w:rPr>
              <w:t>39</w:t>
            </w:r>
            <w:r w:rsidRPr="00B161C7">
              <w:rPr>
                <w:rFonts w:ascii="Calibri" w:eastAsia="Calibri" w:hAnsi="Calibri" w:cs="Arial"/>
                <w:sz w:val="20"/>
                <w:szCs w:val="20"/>
              </w:rPr>
              <w:t xml:space="preserve"> or uncertainties of risks versus benefits </w:t>
            </w:r>
            <w:r w:rsidRPr="005038FB">
              <w:rPr>
                <w:rFonts w:ascii="Calibri" w:eastAsia="Calibri" w:hAnsi="Calibri" w:cs="Arial"/>
                <w:noProof/>
                <w:sz w:val="20"/>
                <w:szCs w:val="20"/>
                <w:vertAlign w:val="superscript"/>
              </w:rPr>
              <w:t>42</w:t>
            </w:r>
            <w:r w:rsidRPr="00B161C7">
              <w:rPr>
                <w:rFonts w:ascii="Calibri" w:eastAsia="Calibri" w:hAnsi="Calibri" w:cs="Arial"/>
                <w:sz w:val="20"/>
                <w:szCs w:val="20"/>
              </w:rPr>
              <w:t xml:space="preserve">. The NICE OA CPG recommended considering weak opioids if paracetamol or NSAIDS provide insufficient relief </w:t>
            </w:r>
            <w:r w:rsidRPr="005038FB">
              <w:rPr>
                <w:rFonts w:ascii="Calibri" w:eastAsia="Calibri" w:hAnsi="Calibri" w:cs="Arial"/>
                <w:noProof/>
                <w:sz w:val="20"/>
                <w:szCs w:val="20"/>
                <w:vertAlign w:val="superscript"/>
              </w:rPr>
              <w:t>45</w:t>
            </w:r>
            <w:r w:rsidRPr="00B161C7">
              <w:rPr>
                <w:rFonts w:ascii="Calibri" w:eastAsia="Calibri" w:hAnsi="Calibri" w:cs="Arial"/>
                <w:sz w:val="20"/>
                <w:szCs w:val="20"/>
              </w:rPr>
              <w:t xml:space="preserve">. </w:t>
            </w:r>
          </w:p>
          <w:p w:rsidR="00AB3A3C" w:rsidRPr="00B161C7" w:rsidRDefault="00AB3A3C" w:rsidP="00D35636">
            <w:pPr>
              <w:spacing w:after="0" w:line="240" w:lineRule="auto"/>
              <w:rPr>
                <w:rFonts w:ascii="Calibri" w:eastAsia="Calibri" w:hAnsi="Calibri" w:cs="Arial"/>
                <w:sz w:val="20"/>
                <w:szCs w:val="20"/>
              </w:rPr>
            </w:pPr>
          </w:p>
          <w:p w:rsidR="00AB3A3C" w:rsidRPr="00B161C7" w:rsidRDefault="00AB3A3C" w:rsidP="00D35636">
            <w:pPr>
              <w:spacing w:after="0" w:line="240" w:lineRule="auto"/>
              <w:rPr>
                <w:rFonts w:ascii="Calibri" w:eastAsia="Calibri" w:hAnsi="Calibri" w:cs="Arial"/>
                <w:sz w:val="20"/>
                <w:szCs w:val="20"/>
              </w:rPr>
            </w:pPr>
            <w:r w:rsidRPr="00B161C7">
              <w:rPr>
                <w:rFonts w:ascii="Calibri" w:eastAsia="Calibri" w:hAnsi="Calibri" w:cs="Arial"/>
                <w:sz w:val="20"/>
                <w:szCs w:val="20"/>
              </w:rPr>
              <w:t xml:space="preserve">CPGs recommended against routine use of opioids for LBP. For acute LBP two CPGs recommended considering weak opioids only if a NSAID is contraindicated, not tolerated or ineffective </w:t>
            </w:r>
            <w:r w:rsidRPr="005038FB">
              <w:rPr>
                <w:rFonts w:ascii="Calibri" w:eastAsia="Calibri" w:hAnsi="Calibri" w:cs="Arial"/>
                <w:noProof/>
                <w:sz w:val="20"/>
                <w:szCs w:val="20"/>
                <w:vertAlign w:val="superscript"/>
              </w:rPr>
              <w:t>35 38</w:t>
            </w:r>
            <w:r w:rsidRPr="00B161C7">
              <w:rPr>
                <w:rFonts w:ascii="Calibri" w:eastAsia="Calibri" w:hAnsi="Calibri" w:cs="Arial"/>
                <w:sz w:val="20"/>
                <w:szCs w:val="20"/>
              </w:rPr>
              <w:t xml:space="preserve">. The Danish LBP CPG recommended opioid use only after careful consideration noting that evidence indicated no short-term effect </w:t>
            </w:r>
            <w:r w:rsidRPr="005038FB">
              <w:rPr>
                <w:rFonts w:ascii="Calibri" w:eastAsia="Calibri" w:hAnsi="Calibri" w:cs="Arial"/>
                <w:noProof/>
                <w:sz w:val="20"/>
                <w:szCs w:val="20"/>
                <w:vertAlign w:val="superscript"/>
              </w:rPr>
              <w:t>40</w:t>
            </w:r>
            <w:r w:rsidRPr="00B161C7">
              <w:rPr>
                <w:rFonts w:ascii="Calibri" w:eastAsia="Calibri" w:hAnsi="Calibri" w:cs="Arial"/>
                <w:sz w:val="20"/>
                <w:szCs w:val="20"/>
              </w:rPr>
              <w:t xml:space="preserve">. Both NICE and Belgium CPGs strongly recommended against opioids for persistent LBP </w:t>
            </w:r>
            <w:r w:rsidRPr="005038FB">
              <w:rPr>
                <w:rFonts w:ascii="Calibri" w:eastAsia="Calibri" w:hAnsi="Calibri" w:cs="Arial"/>
                <w:noProof/>
                <w:sz w:val="20"/>
                <w:szCs w:val="20"/>
                <w:vertAlign w:val="superscript"/>
              </w:rPr>
              <w:t>35 38</w:t>
            </w:r>
            <w:r w:rsidRPr="00B161C7">
              <w:rPr>
                <w:rFonts w:ascii="Calibri" w:eastAsia="Calibri" w:hAnsi="Calibri" w:cs="Arial"/>
                <w:sz w:val="20"/>
                <w:szCs w:val="20"/>
              </w:rPr>
              <w:t>.</w:t>
            </w:r>
          </w:p>
          <w:p w:rsidR="00AB3A3C" w:rsidRPr="00B161C7" w:rsidRDefault="00AB3A3C" w:rsidP="00D35636">
            <w:pPr>
              <w:spacing w:after="0" w:line="240" w:lineRule="auto"/>
              <w:rPr>
                <w:rFonts w:ascii="Calibri" w:eastAsia="Calibri" w:hAnsi="Calibri" w:cs="Arial"/>
                <w:sz w:val="20"/>
                <w:szCs w:val="20"/>
              </w:rPr>
            </w:pPr>
          </w:p>
          <w:p w:rsidR="00AB3A3C" w:rsidRPr="00B161C7" w:rsidRDefault="00AB3A3C" w:rsidP="00D35636">
            <w:pPr>
              <w:spacing w:after="0" w:line="240" w:lineRule="auto"/>
              <w:rPr>
                <w:rFonts w:ascii="Calibri" w:eastAsia="Calibri" w:hAnsi="Calibri" w:cs="Arial"/>
                <w:sz w:val="20"/>
                <w:szCs w:val="20"/>
              </w:rPr>
            </w:pPr>
            <w:r w:rsidRPr="00B161C7">
              <w:rPr>
                <w:rFonts w:ascii="Calibri" w:eastAsia="Calibri" w:hAnsi="Calibri" w:cs="Arial"/>
                <w:sz w:val="20"/>
                <w:szCs w:val="20"/>
              </w:rPr>
              <w:t xml:space="preserve">CPGs for NAD </w:t>
            </w:r>
            <w:r w:rsidRPr="005038FB">
              <w:rPr>
                <w:rFonts w:ascii="Calibri" w:eastAsia="Calibri" w:hAnsi="Calibri" w:cs="Arial"/>
                <w:noProof/>
                <w:sz w:val="20"/>
                <w:szCs w:val="20"/>
                <w:vertAlign w:val="superscript"/>
              </w:rPr>
              <w:t>33</w:t>
            </w:r>
            <w:r w:rsidRPr="00B161C7">
              <w:rPr>
                <w:rFonts w:ascii="Calibri" w:eastAsia="Calibri" w:hAnsi="Calibri" w:cs="Arial"/>
                <w:sz w:val="20"/>
                <w:szCs w:val="20"/>
              </w:rPr>
              <w:t xml:space="preserve"> and rotator cuff </w:t>
            </w:r>
            <w:r w:rsidRPr="005038FB">
              <w:rPr>
                <w:rFonts w:ascii="Calibri" w:eastAsia="Calibri" w:hAnsi="Calibri" w:cs="Arial"/>
                <w:noProof/>
                <w:sz w:val="20"/>
                <w:szCs w:val="20"/>
                <w:vertAlign w:val="superscript"/>
              </w:rPr>
              <w:t>41</w:t>
            </w:r>
            <w:r w:rsidRPr="00B161C7">
              <w:rPr>
                <w:rFonts w:ascii="Calibri" w:eastAsia="Calibri" w:hAnsi="Calibri" w:cs="Arial"/>
                <w:sz w:val="20"/>
                <w:szCs w:val="20"/>
              </w:rPr>
              <w:t xml:space="preserve"> made no recommendations for opioid use. Both noted a lack of evidence for their use, with the NAD CPG describing associated risks including “dose-dependent risk for serious harms, including increased risk for overdose, dependence, and myocardial infarction” </w:t>
            </w:r>
            <w:r w:rsidRPr="005038FB">
              <w:rPr>
                <w:rFonts w:ascii="Calibri" w:eastAsia="Calibri" w:hAnsi="Calibri" w:cs="Arial"/>
                <w:noProof/>
                <w:sz w:val="20"/>
                <w:szCs w:val="20"/>
                <w:vertAlign w:val="superscript"/>
              </w:rPr>
              <w:t>33</w:t>
            </w:r>
            <w:r w:rsidRPr="00B161C7">
              <w:rPr>
                <w:rFonts w:ascii="Calibri" w:eastAsia="Calibri" w:hAnsi="Calibri" w:cs="Arial"/>
                <w:sz w:val="20"/>
                <w:szCs w:val="20"/>
              </w:rPr>
              <w:t xml:space="preserve">. </w:t>
            </w:r>
          </w:p>
          <w:p w:rsidR="00AB3A3C" w:rsidRPr="00B161C7" w:rsidRDefault="00AB3A3C" w:rsidP="00D35636">
            <w:pPr>
              <w:spacing w:after="0" w:line="240" w:lineRule="auto"/>
              <w:rPr>
                <w:rFonts w:ascii="Calibri" w:eastAsia="Calibri" w:hAnsi="Calibri" w:cs="Arial"/>
                <w:sz w:val="20"/>
                <w:szCs w:val="20"/>
              </w:rPr>
            </w:pPr>
          </w:p>
          <w:p w:rsidR="00AB3A3C" w:rsidRPr="00B161C7" w:rsidRDefault="00AB3A3C" w:rsidP="00D35636">
            <w:pPr>
              <w:spacing w:after="0" w:line="240" w:lineRule="auto"/>
              <w:rPr>
                <w:rFonts w:ascii="Calibri" w:eastAsia="Calibri" w:hAnsi="Calibri" w:cs="Arial"/>
                <w:sz w:val="20"/>
                <w:szCs w:val="20"/>
                <w:u w:val="single"/>
              </w:rPr>
            </w:pPr>
            <w:r w:rsidRPr="00B161C7">
              <w:rPr>
                <w:rFonts w:ascii="Calibri" w:eastAsia="Calibri" w:hAnsi="Calibri" w:cs="Arial"/>
                <w:sz w:val="20"/>
                <w:szCs w:val="20"/>
                <w:u w:val="single"/>
              </w:rPr>
              <w:t>Muscle Relaxants</w:t>
            </w:r>
          </w:p>
          <w:p w:rsidR="00AB3A3C" w:rsidRPr="00B161C7" w:rsidRDefault="00AB3A3C" w:rsidP="00D35636">
            <w:pPr>
              <w:spacing w:after="0" w:line="240" w:lineRule="auto"/>
              <w:rPr>
                <w:rFonts w:ascii="Calibri" w:eastAsia="Calibri" w:hAnsi="Calibri" w:cs="Arial"/>
                <w:sz w:val="20"/>
                <w:szCs w:val="20"/>
              </w:rPr>
            </w:pPr>
            <w:r w:rsidRPr="00B161C7">
              <w:rPr>
                <w:rFonts w:ascii="Calibri" w:eastAsia="Calibri" w:hAnsi="Calibri" w:cs="Arial"/>
                <w:sz w:val="20"/>
                <w:szCs w:val="20"/>
              </w:rPr>
              <w:t xml:space="preserve">Two CPGs made weak recommendations for muscle relaxants as part of multimodal care for recent onset NAD grade I-II although the specific medications were not described </w:t>
            </w:r>
            <w:r w:rsidRPr="005038FB">
              <w:rPr>
                <w:rFonts w:ascii="Calibri" w:eastAsia="Calibri" w:hAnsi="Calibri" w:cs="Arial"/>
                <w:noProof/>
                <w:sz w:val="20"/>
                <w:szCs w:val="20"/>
                <w:vertAlign w:val="superscript"/>
              </w:rPr>
              <w:t>33 34</w:t>
            </w:r>
            <w:r w:rsidRPr="00B161C7">
              <w:rPr>
                <w:rFonts w:ascii="Calibri" w:eastAsia="Calibri" w:hAnsi="Calibri" w:cs="Arial"/>
                <w:sz w:val="20"/>
                <w:szCs w:val="20"/>
              </w:rPr>
              <w:t xml:space="preserve">. The Belgian LBP CPG offered a strong recommendation against muscle relaxants for LBP </w:t>
            </w:r>
            <w:r w:rsidRPr="005038FB">
              <w:rPr>
                <w:rFonts w:ascii="Calibri" w:eastAsia="Calibri" w:hAnsi="Calibri" w:cs="Arial"/>
                <w:noProof/>
                <w:sz w:val="20"/>
                <w:szCs w:val="20"/>
                <w:vertAlign w:val="superscript"/>
              </w:rPr>
              <w:t>38</w:t>
            </w:r>
            <w:r w:rsidRPr="00B161C7">
              <w:rPr>
                <w:rFonts w:ascii="Calibri" w:eastAsia="Calibri" w:hAnsi="Calibri" w:cs="Arial"/>
                <w:sz w:val="20"/>
                <w:szCs w:val="20"/>
              </w:rPr>
              <w:t xml:space="preserve">. The NICE CPG noted a lack of evidence and listed investigation of the efficacy of muscle relaxants in treating LBP a research priority </w:t>
            </w:r>
            <w:r w:rsidRPr="005038FB">
              <w:rPr>
                <w:rFonts w:ascii="Calibri" w:eastAsia="Calibri" w:hAnsi="Calibri" w:cs="Arial"/>
                <w:noProof/>
                <w:sz w:val="20"/>
                <w:szCs w:val="20"/>
                <w:vertAlign w:val="superscript"/>
              </w:rPr>
              <w:t>35</w:t>
            </w:r>
            <w:r w:rsidRPr="00B161C7">
              <w:rPr>
                <w:rFonts w:ascii="Calibri" w:eastAsia="Calibri" w:hAnsi="Calibri" w:cs="Arial"/>
                <w:sz w:val="20"/>
                <w:szCs w:val="20"/>
              </w:rPr>
              <w:t xml:space="preserve">. </w:t>
            </w:r>
          </w:p>
          <w:p w:rsidR="00AB3A3C" w:rsidRPr="00B161C7" w:rsidRDefault="00AB3A3C" w:rsidP="00D35636">
            <w:pPr>
              <w:spacing w:after="0" w:line="240" w:lineRule="auto"/>
              <w:rPr>
                <w:rFonts w:ascii="Calibri" w:eastAsia="Calibri" w:hAnsi="Calibri" w:cs="Arial"/>
                <w:sz w:val="20"/>
                <w:szCs w:val="20"/>
              </w:rPr>
            </w:pPr>
          </w:p>
          <w:p w:rsidR="00AB3A3C" w:rsidRPr="00B161C7" w:rsidRDefault="00AB3A3C" w:rsidP="00D35636">
            <w:pPr>
              <w:spacing w:after="0" w:line="240" w:lineRule="auto"/>
              <w:rPr>
                <w:rFonts w:ascii="Calibri" w:eastAsia="Calibri" w:hAnsi="Calibri" w:cs="Arial"/>
                <w:sz w:val="20"/>
                <w:szCs w:val="20"/>
                <w:u w:val="single"/>
              </w:rPr>
            </w:pPr>
            <w:r w:rsidRPr="00B161C7">
              <w:rPr>
                <w:rFonts w:ascii="Calibri" w:eastAsia="Calibri" w:hAnsi="Calibri" w:cs="Arial"/>
                <w:sz w:val="20"/>
                <w:szCs w:val="20"/>
                <w:u w:val="single"/>
              </w:rPr>
              <w:t>Other</w:t>
            </w:r>
          </w:p>
          <w:p w:rsidR="00AB3A3C" w:rsidRPr="00B161C7" w:rsidRDefault="00AB3A3C" w:rsidP="00D35636">
            <w:pPr>
              <w:spacing w:after="0" w:line="240" w:lineRule="auto"/>
              <w:rPr>
                <w:rFonts w:ascii="Calibri" w:eastAsia="Calibri" w:hAnsi="Calibri" w:cs="Arial"/>
                <w:sz w:val="20"/>
                <w:szCs w:val="20"/>
              </w:rPr>
            </w:pPr>
            <w:r w:rsidRPr="00B161C7">
              <w:rPr>
                <w:rFonts w:ascii="Calibri" w:eastAsia="Calibri" w:hAnsi="Calibri" w:cs="Arial"/>
                <w:sz w:val="20"/>
                <w:szCs w:val="20"/>
              </w:rPr>
              <w:t xml:space="preserve">Two OA CPGs strongly recommended against using glucosamine and chondroitin for OA </w:t>
            </w:r>
            <w:r w:rsidRPr="005038FB">
              <w:rPr>
                <w:rFonts w:ascii="Calibri" w:eastAsia="Calibri" w:hAnsi="Calibri" w:cs="Arial"/>
                <w:noProof/>
                <w:sz w:val="20"/>
                <w:szCs w:val="20"/>
                <w:vertAlign w:val="superscript"/>
              </w:rPr>
              <w:t>39 45</w:t>
            </w:r>
            <w:r w:rsidRPr="00B161C7">
              <w:rPr>
                <w:rFonts w:ascii="Calibri" w:eastAsia="Calibri" w:hAnsi="Calibri" w:cs="Arial"/>
                <w:sz w:val="20"/>
                <w:szCs w:val="20"/>
              </w:rPr>
              <w:t xml:space="preserve">. A third CPG also strongly recommended against glucosamine and chondroitin for OA disease modification, but had an uncertain recommendation for pain relief, noting mixed findings from systematic reviews </w:t>
            </w:r>
            <w:r w:rsidRPr="005038FB">
              <w:rPr>
                <w:rFonts w:ascii="Calibri" w:eastAsia="Calibri" w:hAnsi="Calibri" w:cs="Arial"/>
                <w:noProof/>
                <w:sz w:val="20"/>
                <w:szCs w:val="20"/>
                <w:vertAlign w:val="superscript"/>
              </w:rPr>
              <w:t>42</w:t>
            </w:r>
            <w:r w:rsidRPr="00B161C7">
              <w:rPr>
                <w:rFonts w:ascii="Calibri" w:eastAsia="Calibri" w:hAnsi="Calibri" w:cs="Arial"/>
                <w:sz w:val="20"/>
                <w:szCs w:val="20"/>
              </w:rPr>
              <w:t xml:space="preserve">. Two CPGs recommended topical capsaicin for knee OA </w:t>
            </w:r>
            <w:r w:rsidRPr="005038FB">
              <w:rPr>
                <w:rFonts w:ascii="Calibri" w:eastAsia="Calibri" w:hAnsi="Calibri" w:cs="Arial"/>
                <w:noProof/>
                <w:sz w:val="20"/>
                <w:szCs w:val="20"/>
                <w:vertAlign w:val="superscript"/>
              </w:rPr>
              <w:t>42 45</w:t>
            </w:r>
            <w:r w:rsidRPr="00B161C7">
              <w:rPr>
                <w:rFonts w:ascii="Calibri" w:eastAsia="Calibri" w:hAnsi="Calibri" w:cs="Arial"/>
                <w:sz w:val="20"/>
                <w:szCs w:val="20"/>
              </w:rPr>
              <w:t xml:space="preserve"> and one also for hand OA </w:t>
            </w:r>
            <w:r w:rsidRPr="005038FB">
              <w:rPr>
                <w:rFonts w:ascii="Calibri" w:eastAsia="Calibri" w:hAnsi="Calibri" w:cs="Arial"/>
                <w:noProof/>
                <w:sz w:val="20"/>
                <w:szCs w:val="20"/>
                <w:vertAlign w:val="superscript"/>
              </w:rPr>
              <w:t>45</w:t>
            </w:r>
            <w:r w:rsidRPr="00B161C7">
              <w:rPr>
                <w:rFonts w:ascii="Calibri" w:eastAsia="Calibri" w:hAnsi="Calibri" w:cs="Arial"/>
                <w:sz w:val="20"/>
                <w:szCs w:val="20"/>
              </w:rPr>
              <w:t xml:space="preserve">. The OARSI CPG recommended Duloxetine for multiple joint OA but not knee OA alone </w:t>
            </w:r>
            <w:r w:rsidRPr="005038FB">
              <w:rPr>
                <w:rFonts w:ascii="Calibri" w:eastAsia="Calibri" w:hAnsi="Calibri" w:cs="Arial"/>
                <w:noProof/>
                <w:sz w:val="20"/>
                <w:szCs w:val="20"/>
                <w:vertAlign w:val="superscript"/>
              </w:rPr>
              <w:t>42</w:t>
            </w:r>
            <w:r w:rsidRPr="00B161C7">
              <w:rPr>
                <w:rFonts w:ascii="Calibri" w:eastAsia="Calibri" w:hAnsi="Calibri" w:cs="Arial"/>
                <w:sz w:val="20"/>
                <w:szCs w:val="20"/>
              </w:rPr>
              <w:t xml:space="preserve">. Single CPGs recommended against </w:t>
            </w:r>
            <w:proofErr w:type="spellStart"/>
            <w:r w:rsidRPr="00B161C7">
              <w:rPr>
                <w:rFonts w:ascii="Calibri" w:eastAsia="Calibri" w:hAnsi="Calibri" w:cs="Arial"/>
                <w:sz w:val="20"/>
                <w:szCs w:val="20"/>
              </w:rPr>
              <w:t>rubefacients</w:t>
            </w:r>
            <w:proofErr w:type="spellEnd"/>
            <w:r w:rsidRPr="00B161C7">
              <w:rPr>
                <w:rFonts w:ascii="Calibri" w:eastAsia="Calibri" w:hAnsi="Calibri" w:cs="Arial"/>
                <w:sz w:val="20"/>
                <w:szCs w:val="20"/>
              </w:rPr>
              <w:t xml:space="preserve"> </w:t>
            </w:r>
            <w:r w:rsidRPr="005038FB">
              <w:rPr>
                <w:rFonts w:ascii="Calibri" w:eastAsia="Calibri" w:hAnsi="Calibri" w:cs="Arial"/>
                <w:noProof/>
                <w:sz w:val="20"/>
                <w:szCs w:val="20"/>
                <w:vertAlign w:val="superscript"/>
              </w:rPr>
              <w:t>45</w:t>
            </w:r>
            <w:r w:rsidRPr="00B161C7">
              <w:rPr>
                <w:rFonts w:ascii="Calibri" w:eastAsia="Calibri" w:hAnsi="Calibri" w:cs="Arial"/>
                <w:sz w:val="20"/>
                <w:szCs w:val="20"/>
              </w:rPr>
              <w:t xml:space="preserve"> and </w:t>
            </w:r>
            <w:proofErr w:type="spellStart"/>
            <w:r w:rsidRPr="00B161C7">
              <w:rPr>
                <w:rFonts w:ascii="Calibri" w:eastAsia="Calibri" w:hAnsi="Calibri" w:cs="Arial"/>
                <w:sz w:val="20"/>
                <w:szCs w:val="20"/>
              </w:rPr>
              <w:t>Risedronate</w:t>
            </w:r>
            <w:proofErr w:type="spellEnd"/>
            <w:r w:rsidRPr="00B161C7">
              <w:rPr>
                <w:rFonts w:ascii="Calibri" w:eastAsia="Calibri" w:hAnsi="Calibri" w:cs="Arial"/>
                <w:sz w:val="20"/>
                <w:szCs w:val="20"/>
              </w:rPr>
              <w:t xml:space="preserve"> </w:t>
            </w:r>
            <w:r w:rsidRPr="005038FB">
              <w:rPr>
                <w:rFonts w:ascii="Calibri" w:eastAsia="Calibri" w:hAnsi="Calibri" w:cs="Arial"/>
                <w:noProof/>
                <w:sz w:val="20"/>
                <w:szCs w:val="20"/>
                <w:vertAlign w:val="superscript"/>
              </w:rPr>
              <w:t>42</w:t>
            </w:r>
            <w:r w:rsidRPr="00B161C7">
              <w:rPr>
                <w:rFonts w:ascii="Calibri" w:eastAsia="Calibri" w:hAnsi="Calibri" w:cs="Arial"/>
                <w:sz w:val="20"/>
                <w:szCs w:val="20"/>
              </w:rPr>
              <w:t xml:space="preserve">. </w:t>
            </w:r>
          </w:p>
          <w:p w:rsidR="00AB3A3C" w:rsidRPr="00B161C7" w:rsidRDefault="00AB3A3C" w:rsidP="00D35636">
            <w:pPr>
              <w:spacing w:after="0" w:line="240" w:lineRule="auto"/>
              <w:rPr>
                <w:rFonts w:ascii="Calibri" w:eastAsia="Calibri" w:hAnsi="Calibri" w:cs="Arial"/>
                <w:sz w:val="20"/>
                <w:szCs w:val="20"/>
              </w:rPr>
            </w:pPr>
          </w:p>
          <w:p w:rsidR="00AB3A3C" w:rsidRPr="00B161C7" w:rsidRDefault="00AB3A3C" w:rsidP="00D35636">
            <w:pPr>
              <w:spacing w:after="0" w:line="240" w:lineRule="auto"/>
              <w:rPr>
                <w:rFonts w:ascii="Calibri" w:eastAsia="Calibri" w:hAnsi="Calibri" w:cs="Arial"/>
                <w:sz w:val="20"/>
                <w:szCs w:val="20"/>
              </w:rPr>
            </w:pPr>
            <w:r w:rsidRPr="00B161C7">
              <w:rPr>
                <w:rFonts w:ascii="Calibri" w:eastAsia="Calibri" w:hAnsi="Calibri" w:cs="Arial"/>
                <w:sz w:val="20"/>
                <w:szCs w:val="20"/>
              </w:rPr>
              <w:t xml:space="preserve">The NICE and Belgian CPGs strongly recommended against selective serotonin reuptake inhibitors for LBP or radicular pain </w:t>
            </w:r>
            <w:r w:rsidRPr="005038FB">
              <w:rPr>
                <w:rFonts w:ascii="Calibri" w:eastAsia="Calibri" w:hAnsi="Calibri" w:cs="Arial"/>
                <w:noProof/>
                <w:sz w:val="20"/>
                <w:szCs w:val="20"/>
                <w:vertAlign w:val="superscript"/>
              </w:rPr>
              <w:t>35 38</w:t>
            </w:r>
            <w:r w:rsidRPr="00B161C7">
              <w:rPr>
                <w:rFonts w:ascii="Calibri" w:eastAsia="Calibri" w:hAnsi="Calibri" w:cs="Arial"/>
                <w:sz w:val="20"/>
                <w:szCs w:val="20"/>
              </w:rPr>
              <w:t xml:space="preserve">. The NICE LBP CPG also strongly recommended against serotonin– norepinephrine reuptake inhibitors or tricyclic antidepressants </w:t>
            </w:r>
            <w:r w:rsidRPr="005038FB">
              <w:rPr>
                <w:rFonts w:ascii="Calibri" w:eastAsia="Calibri" w:hAnsi="Calibri" w:cs="Arial"/>
                <w:noProof/>
                <w:sz w:val="20"/>
                <w:szCs w:val="20"/>
                <w:vertAlign w:val="superscript"/>
              </w:rPr>
              <w:t>35</w:t>
            </w:r>
            <w:r w:rsidRPr="00B161C7">
              <w:rPr>
                <w:rFonts w:ascii="Calibri" w:eastAsia="Calibri" w:hAnsi="Calibri" w:cs="Arial"/>
                <w:sz w:val="20"/>
                <w:szCs w:val="20"/>
              </w:rPr>
              <w:t xml:space="preserve"> and Belgian LBP CPG recommended against their use in acute pain, and a weaker recommendation against routine use for patients with chronic LBP </w:t>
            </w:r>
            <w:r w:rsidRPr="005038FB">
              <w:rPr>
                <w:rFonts w:ascii="Calibri" w:eastAsia="Calibri" w:hAnsi="Calibri" w:cs="Arial"/>
                <w:noProof/>
                <w:sz w:val="20"/>
                <w:szCs w:val="20"/>
                <w:vertAlign w:val="superscript"/>
              </w:rPr>
              <w:t>38</w:t>
            </w:r>
            <w:r w:rsidRPr="00B161C7">
              <w:rPr>
                <w:rFonts w:ascii="Calibri" w:eastAsia="Calibri" w:hAnsi="Calibri" w:cs="Arial"/>
                <w:sz w:val="20"/>
                <w:szCs w:val="20"/>
              </w:rPr>
              <w:t xml:space="preserve">.  These CPGs also recommended against the use of anticonvulsants for LBP </w:t>
            </w:r>
            <w:r w:rsidRPr="005038FB">
              <w:rPr>
                <w:rFonts w:ascii="Calibri" w:eastAsia="Calibri" w:hAnsi="Calibri" w:cs="Arial"/>
                <w:noProof/>
                <w:sz w:val="20"/>
                <w:szCs w:val="20"/>
                <w:vertAlign w:val="superscript"/>
              </w:rPr>
              <w:t>35 38</w:t>
            </w:r>
            <w:r w:rsidRPr="00B161C7">
              <w:rPr>
                <w:rFonts w:ascii="Calibri" w:eastAsia="Calibri" w:hAnsi="Calibri" w:cs="Arial"/>
                <w:sz w:val="20"/>
                <w:szCs w:val="20"/>
              </w:rPr>
              <w:t xml:space="preserve">. </w:t>
            </w:r>
          </w:p>
          <w:p w:rsidR="00AB3A3C" w:rsidRPr="00B161C7" w:rsidRDefault="00AB3A3C" w:rsidP="00D35636">
            <w:pPr>
              <w:spacing w:after="0" w:line="240" w:lineRule="auto"/>
              <w:rPr>
                <w:rFonts w:ascii="Calibri" w:eastAsia="Calibri" w:hAnsi="Calibri" w:cs="Arial"/>
                <w:sz w:val="20"/>
                <w:szCs w:val="20"/>
              </w:rPr>
            </w:pPr>
          </w:p>
          <w:p w:rsidR="00AB3A3C" w:rsidRPr="00B161C7" w:rsidRDefault="00AB3A3C" w:rsidP="00D35636">
            <w:pPr>
              <w:spacing w:after="0" w:line="240" w:lineRule="auto"/>
              <w:rPr>
                <w:rFonts w:ascii="Calibri" w:eastAsia="Calibri" w:hAnsi="Calibri" w:cs="Arial"/>
                <w:sz w:val="20"/>
                <w:szCs w:val="20"/>
                <w:highlight w:val="green"/>
              </w:rPr>
            </w:pPr>
            <w:r w:rsidRPr="00B161C7">
              <w:rPr>
                <w:rFonts w:ascii="Calibri" w:eastAsia="Calibri" w:hAnsi="Calibri" w:cs="Arial"/>
                <w:sz w:val="20"/>
                <w:szCs w:val="20"/>
                <w:highlight w:val="green"/>
              </w:rPr>
              <w:t>Consensus for single MSK pain conditions:</w:t>
            </w:r>
          </w:p>
          <w:p w:rsidR="00AB3A3C" w:rsidRPr="00B161C7" w:rsidRDefault="00AB3A3C" w:rsidP="00D35636">
            <w:pPr>
              <w:spacing w:after="0" w:line="240" w:lineRule="auto"/>
              <w:rPr>
                <w:rFonts w:ascii="Calibri" w:eastAsia="Calibri" w:hAnsi="Calibri" w:cs="Arial"/>
                <w:sz w:val="20"/>
                <w:szCs w:val="20"/>
                <w:highlight w:val="green"/>
              </w:rPr>
            </w:pPr>
            <w:r w:rsidRPr="00B161C7">
              <w:rPr>
                <w:rFonts w:ascii="Calibri" w:eastAsia="Calibri" w:hAnsi="Calibri" w:cs="Arial"/>
                <w:sz w:val="20"/>
                <w:szCs w:val="20"/>
                <w:highlight w:val="green"/>
              </w:rPr>
              <w:t>OA:</w:t>
            </w:r>
          </w:p>
          <w:p w:rsidR="00AB3A3C" w:rsidRPr="00B161C7" w:rsidRDefault="00AB3A3C" w:rsidP="00AB3A3C">
            <w:pPr>
              <w:numPr>
                <w:ilvl w:val="0"/>
                <w:numId w:val="4"/>
              </w:numPr>
              <w:spacing w:after="0" w:line="240" w:lineRule="auto"/>
              <w:contextualSpacing/>
              <w:rPr>
                <w:rFonts w:ascii="Calibri" w:eastAsia="Calibri" w:hAnsi="Calibri" w:cs="Arial"/>
                <w:sz w:val="20"/>
                <w:szCs w:val="20"/>
                <w:highlight w:val="green"/>
              </w:rPr>
            </w:pPr>
            <w:r w:rsidRPr="00B161C7">
              <w:rPr>
                <w:rFonts w:ascii="Calibri" w:eastAsia="Calibri" w:hAnsi="Calibri" w:cs="Arial"/>
                <w:sz w:val="20"/>
                <w:szCs w:val="20"/>
                <w:highlight w:val="green"/>
              </w:rPr>
              <w:t xml:space="preserve">do not use Glucosamine or Chondroitin for disease modification </w:t>
            </w:r>
          </w:p>
          <w:p w:rsidR="00AB3A3C" w:rsidRPr="00B161C7" w:rsidRDefault="00AB3A3C" w:rsidP="00D35636">
            <w:pPr>
              <w:spacing w:after="0" w:line="240" w:lineRule="auto"/>
              <w:contextualSpacing/>
              <w:rPr>
                <w:rFonts w:ascii="Calibri" w:eastAsia="Calibri" w:hAnsi="Calibri" w:cs="Arial"/>
                <w:sz w:val="20"/>
                <w:szCs w:val="20"/>
                <w:highlight w:val="green"/>
              </w:rPr>
            </w:pPr>
            <w:r w:rsidRPr="00B161C7">
              <w:rPr>
                <w:rFonts w:ascii="Calibri" w:eastAsia="Calibri" w:hAnsi="Calibri" w:cs="Arial"/>
                <w:sz w:val="20"/>
                <w:szCs w:val="20"/>
                <w:highlight w:val="green"/>
              </w:rPr>
              <w:t>LBP:</w:t>
            </w:r>
          </w:p>
          <w:p w:rsidR="00AB3A3C" w:rsidRPr="00B161C7" w:rsidRDefault="00AB3A3C" w:rsidP="00AB3A3C">
            <w:pPr>
              <w:numPr>
                <w:ilvl w:val="0"/>
                <w:numId w:val="4"/>
              </w:numPr>
              <w:spacing w:after="0" w:line="240" w:lineRule="auto"/>
              <w:contextualSpacing/>
              <w:rPr>
                <w:rFonts w:ascii="Calibri" w:eastAsia="Calibri" w:hAnsi="Calibri" w:cs="Arial"/>
                <w:sz w:val="20"/>
                <w:szCs w:val="20"/>
                <w:highlight w:val="green"/>
              </w:rPr>
            </w:pPr>
            <w:r w:rsidRPr="00B161C7">
              <w:rPr>
                <w:rFonts w:ascii="Calibri" w:eastAsia="Calibri" w:hAnsi="Calibri" w:cs="Arial"/>
                <w:sz w:val="20"/>
                <w:szCs w:val="20"/>
                <w:highlight w:val="green"/>
              </w:rPr>
              <w:t xml:space="preserve">Do not offer paracetamol as a single medication </w:t>
            </w:r>
          </w:p>
          <w:p w:rsidR="00AB3A3C" w:rsidRPr="00B161C7" w:rsidRDefault="00AB3A3C" w:rsidP="00AB3A3C">
            <w:pPr>
              <w:numPr>
                <w:ilvl w:val="0"/>
                <w:numId w:val="4"/>
              </w:numPr>
              <w:spacing w:after="0" w:line="240" w:lineRule="auto"/>
              <w:contextualSpacing/>
              <w:rPr>
                <w:rFonts w:ascii="Calibri" w:eastAsia="Calibri" w:hAnsi="Calibri" w:cs="Arial"/>
                <w:sz w:val="20"/>
                <w:szCs w:val="20"/>
                <w:highlight w:val="green"/>
              </w:rPr>
            </w:pPr>
            <w:r w:rsidRPr="00B161C7">
              <w:rPr>
                <w:rFonts w:ascii="Calibri" w:eastAsia="Calibri" w:hAnsi="Calibri" w:cs="Arial"/>
                <w:sz w:val="20"/>
                <w:szCs w:val="20"/>
                <w:highlight w:val="green"/>
              </w:rPr>
              <w:t>Avoid opioids for CLBP</w:t>
            </w:r>
          </w:p>
          <w:p w:rsidR="00AB3A3C" w:rsidRPr="00B161C7" w:rsidRDefault="00AB3A3C" w:rsidP="00AB3A3C">
            <w:pPr>
              <w:numPr>
                <w:ilvl w:val="0"/>
                <w:numId w:val="4"/>
              </w:numPr>
              <w:spacing w:after="0" w:line="240" w:lineRule="auto"/>
              <w:contextualSpacing/>
              <w:rPr>
                <w:rFonts w:ascii="Calibri" w:eastAsia="Calibri" w:hAnsi="Calibri" w:cs="Arial"/>
                <w:sz w:val="20"/>
                <w:szCs w:val="20"/>
                <w:highlight w:val="green"/>
              </w:rPr>
            </w:pPr>
            <w:r w:rsidRPr="00B161C7">
              <w:rPr>
                <w:rFonts w:ascii="Calibri" w:eastAsia="Calibri" w:hAnsi="Calibri" w:cs="Arial"/>
                <w:sz w:val="20"/>
                <w:szCs w:val="20"/>
                <w:highlight w:val="green"/>
              </w:rPr>
              <w:t xml:space="preserve">Do not offer selective serotonin reuptake inhibitors, serotonin– norepinephrine reuptake inhibitors, tricyclic antidepressants or anticonvulsants for LBP </w:t>
            </w:r>
          </w:p>
          <w:p w:rsidR="00AB3A3C" w:rsidRPr="00B161C7" w:rsidRDefault="00AB3A3C" w:rsidP="00D35636">
            <w:pPr>
              <w:spacing w:after="0" w:line="240" w:lineRule="auto"/>
              <w:ind w:left="360"/>
              <w:contextualSpacing/>
              <w:rPr>
                <w:rFonts w:ascii="Calibri" w:eastAsia="Calibri" w:hAnsi="Calibri" w:cs="Arial"/>
                <w:sz w:val="20"/>
                <w:szCs w:val="20"/>
              </w:rPr>
            </w:pPr>
          </w:p>
          <w:p w:rsidR="00AB3A3C" w:rsidRPr="00B161C7" w:rsidRDefault="00AB3A3C" w:rsidP="00D35636">
            <w:pPr>
              <w:spacing w:after="0" w:line="240" w:lineRule="auto"/>
              <w:rPr>
                <w:rFonts w:ascii="Calibri" w:eastAsia="Calibri" w:hAnsi="Calibri" w:cs="Arial"/>
                <w:sz w:val="20"/>
                <w:szCs w:val="20"/>
              </w:rPr>
            </w:pPr>
            <w:r w:rsidRPr="00B161C7">
              <w:rPr>
                <w:rFonts w:ascii="Calibri" w:eastAsia="Calibri" w:hAnsi="Calibri" w:cs="Arial"/>
                <w:sz w:val="20"/>
                <w:szCs w:val="20"/>
              </w:rPr>
              <w:lastRenderedPageBreak/>
              <w:t xml:space="preserve">Notes: although we were unable to identify a consensus for opioids nearly all CPGs identify the risks associated with opioids and limitations and uncertainty of evidence for their use. Opioids should not be used routinely, not first-line, their use should be time limited and at the lowest possible dose. </w:t>
            </w:r>
          </w:p>
        </w:tc>
      </w:tr>
      <w:tr w:rsidR="00AB3A3C" w:rsidRPr="00B161C7" w:rsidTr="00D35636">
        <w:tc>
          <w:tcPr>
            <w:tcW w:w="811" w:type="pct"/>
          </w:tcPr>
          <w:p w:rsidR="00AB3A3C" w:rsidRPr="00B161C7" w:rsidRDefault="00AB3A3C" w:rsidP="00D35636">
            <w:pPr>
              <w:spacing w:after="0" w:line="240" w:lineRule="auto"/>
              <w:rPr>
                <w:rFonts w:ascii="Calibri" w:eastAsia="Calibri" w:hAnsi="Calibri" w:cs="Arial"/>
                <w:sz w:val="20"/>
                <w:szCs w:val="20"/>
              </w:rPr>
            </w:pPr>
            <w:r w:rsidRPr="00B161C7">
              <w:rPr>
                <w:rFonts w:ascii="Calibri" w:eastAsia="Calibri" w:hAnsi="Calibri" w:cs="Arial"/>
                <w:sz w:val="20"/>
                <w:szCs w:val="20"/>
              </w:rPr>
              <w:lastRenderedPageBreak/>
              <w:t xml:space="preserve">Passive Interventions – non-invasive </w:t>
            </w:r>
          </w:p>
          <w:p w:rsidR="00AB3A3C" w:rsidRPr="00B161C7" w:rsidRDefault="00AB3A3C" w:rsidP="00D35636">
            <w:pPr>
              <w:spacing w:after="0" w:line="240" w:lineRule="auto"/>
              <w:rPr>
                <w:rFonts w:ascii="Calibri" w:eastAsia="Calibri" w:hAnsi="Calibri" w:cs="Arial"/>
                <w:sz w:val="20"/>
                <w:szCs w:val="20"/>
              </w:rPr>
            </w:pPr>
          </w:p>
          <w:p w:rsidR="00AB3A3C" w:rsidRPr="00B161C7" w:rsidRDefault="00AB3A3C" w:rsidP="00D35636">
            <w:pPr>
              <w:spacing w:after="0" w:line="240" w:lineRule="auto"/>
              <w:rPr>
                <w:rFonts w:ascii="Calibri" w:eastAsia="Calibri" w:hAnsi="Calibri" w:cs="Arial"/>
                <w:sz w:val="20"/>
                <w:szCs w:val="20"/>
              </w:rPr>
            </w:pPr>
          </w:p>
        </w:tc>
        <w:tc>
          <w:tcPr>
            <w:tcW w:w="4189" w:type="pct"/>
          </w:tcPr>
          <w:p w:rsidR="00AB3A3C" w:rsidRPr="00B161C7" w:rsidRDefault="00AB3A3C" w:rsidP="00D35636">
            <w:pPr>
              <w:spacing w:after="0" w:line="240" w:lineRule="auto"/>
              <w:rPr>
                <w:rFonts w:ascii="Calibri" w:eastAsia="Calibri" w:hAnsi="Calibri" w:cs="Arial"/>
                <w:sz w:val="20"/>
                <w:szCs w:val="20"/>
                <w:u w:val="single"/>
              </w:rPr>
            </w:pPr>
            <w:r w:rsidRPr="00B161C7">
              <w:rPr>
                <w:rFonts w:ascii="Calibri" w:eastAsia="Calibri" w:hAnsi="Calibri" w:cs="Arial"/>
                <w:sz w:val="20"/>
                <w:szCs w:val="20"/>
                <w:u w:val="single"/>
              </w:rPr>
              <w:t>Manual Therapy</w:t>
            </w:r>
          </w:p>
          <w:p w:rsidR="00AB3A3C" w:rsidRPr="00B161C7" w:rsidRDefault="00AB3A3C" w:rsidP="00D35636">
            <w:pPr>
              <w:spacing w:after="0" w:line="240" w:lineRule="auto"/>
              <w:rPr>
                <w:rFonts w:ascii="Calibri" w:eastAsia="Calibri" w:hAnsi="Calibri" w:cs="Arial"/>
                <w:sz w:val="20"/>
                <w:szCs w:val="20"/>
              </w:rPr>
            </w:pPr>
            <w:r w:rsidRPr="00B161C7">
              <w:rPr>
                <w:rFonts w:ascii="Calibri" w:eastAsia="Calibri" w:hAnsi="Calibri" w:cs="Arial"/>
                <w:sz w:val="20"/>
                <w:szCs w:val="20"/>
              </w:rPr>
              <w:t xml:space="preserve">With the exception of the chiropractic CPG, LBP CPGs offered weak recommendations for manual therapy </w:t>
            </w:r>
            <w:r w:rsidRPr="005038FB">
              <w:rPr>
                <w:rFonts w:ascii="Calibri" w:eastAsia="Calibri" w:hAnsi="Calibri" w:cs="Arial"/>
                <w:noProof/>
                <w:sz w:val="20"/>
                <w:szCs w:val="20"/>
                <w:vertAlign w:val="superscript"/>
              </w:rPr>
              <w:t>35 38 40</w:t>
            </w:r>
            <w:r w:rsidRPr="00B161C7">
              <w:rPr>
                <w:rFonts w:ascii="Calibri" w:eastAsia="Calibri" w:hAnsi="Calibri" w:cs="Arial"/>
                <w:sz w:val="20"/>
                <w:szCs w:val="20"/>
              </w:rPr>
              <w:t xml:space="preserve">. The chiropractic CPG made a stronger recommendation with spinal manipulation/mobilisation a core aspect of management </w:t>
            </w:r>
            <w:r w:rsidRPr="005038FB">
              <w:rPr>
                <w:rFonts w:ascii="Calibri" w:eastAsia="Calibri" w:hAnsi="Calibri" w:cs="Arial"/>
                <w:noProof/>
                <w:sz w:val="20"/>
                <w:szCs w:val="20"/>
                <w:vertAlign w:val="superscript"/>
              </w:rPr>
              <w:t>37</w:t>
            </w:r>
            <w:r w:rsidRPr="00B161C7">
              <w:rPr>
                <w:rFonts w:ascii="Calibri" w:eastAsia="Calibri" w:hAnsi="Calibri" w:cs="Arial"/>
                <w:sz w:val="20"/>
                <w:szCs w:val="20"/>
              </w:rPr>
              <w:t xml:space="preserve">. However, if utilised  CPGs recommended manual therapy be used as a component of multimodal care, in conjunction with other management strategies including exercise, psychological therapy, information, and activity advice </w:t>
            </w:r>
            <w:r w:rsidRPr="005038FB">
              <w:rPr>
                <w:rFonts w:ascii="Calibri" w:eastAsia="Calibri" w:hAnsi="Calibri" w:cs="Arial"/>
                <w:noProof/>
                <w:sz w:val="20"/>
                <w:szCs w:val="20"/>
                <w:vertAlign w:val="superscript"/>
              </w:rPr>
              <w:t>35 37 38 40</w:t>
            </w:r>
            <w:r w:rsidRPr="00B161C7">
              <w:rPr>
                <w:rFonts w:ascii="Calibri" w:eastAsia="Calibri" w:hAnsi="Calibri" w:cs="Arial"/>
                <w:sz w:val="20"/>
                <w:szCs w:val="20"/>
              </w:rPr>
              <w:t xml:space="preserve">. </w:t>
            </w:r>
          </w:p>
          <w:p w:rsidR="00AB3A3C" w:rsidRPr="00B161C7" w:rsidRDefault="00AB3A3C" w:rsidP="00D35636">
            <w:pPr>
              <w:spacing w:after="0" w:line="240" w:lineRule="auto"/>
              <w:rPr>
                <w:rFonts w:ascii="Calibri" w:eastAsia="Calibri" w:hAnsi="Calibri" w:cs="Arial"/>
                <w:sz w:val="20"/>
                <w:szCs w:val="20"/>
              </w:rPr>
            </w:pPr>
          </w:p>
          <w:p w:rsidR="00AB3A3C" w:rsidRPr="00B161C7" w:rsidRDefault="00AB3A3C" w:rsidP="00D35636">
            <w:pPr>
              <w:spacing w:after="0" w:line="240" w:lineRule="auto"/>
              <w:rPr>
                <w:rFonts w:ascii="Calibri" w:eastAsia="Calibri" w:hAnsi="Calibri" w:cs="Arial"/>
                <w:sz w:val="20"/>
                <w:szCs w:val="20"/>
              </w:rPr>
            </w:pPr>
            <w:r w:rsidRPr="00B161C7">
              <w:rPr>
                <w:rFonts w:ascii="Calibri" w:eastAsia="Calibri" w:hAnsi="Calibri" w:cs="Arial"/>
                <w:sz w:val="20"/>
                <w:szCs w:val="20"/>
              </w:rPr>
              <w:t xml:space="preserve">Two CPGs made weak recommendations for manual therapy for recent NAD grade I-II, generally as part of multimodal treatment that also included exercise or soft tissue therapy </w:t>
            </w:r>
            <w:r w:rsidRPr="005038FB">
              <w:rPr>
                <w:rFonts w:ascii="Calibri" w:eastAsia="Calibri" w:hAnsi="Calibri" w:cs="Arial"/>
                <w:noProof/>
                <w:sz w:val="20"/>
                <w:szCs w:val="20"/>
                <w:vertAlign w:val="superscript"/>
              </w:rPr>
              <w:t>33 34</w:t>
            </w:r>
            <w:r w:rsidRPr="00B161C7">
              <w:rPr>
                <w:rFonts w:ascii="Calibri" w:eastAsia="Calibri" w:hAnsi="Calibri" w:cs="Arial"/>
                <w:sz w:val="20"/>
                <w:szCs w:val="20"/>
              </w:rPr>
              <w:t xml:space="preserve">. For persistent NAD Grade I-II CPGs recommended high dose or clinical massage, and not relaxation massage </w:t>
            </w:r>
            <w:r w:rsidRPr="005038FB">
              <w:rPr>
                <w:rFonts w:ascii="Calibri" w:eastAsia="Calibri" w:hAnsi="Calibri" w:cs="Arial"/>
                <w:noProof/>
                <w:sz w:val="20"/>
                <w:szCs w:val="20"/>
                <w:vertAlign w:val="superscript"/>
              </w:rPr>
              <w:t>33 34</w:t>
            </w:r>
            <w:r w:rsidRPr="00B161C7">
              <w:rPr>
                <w:rFonts w:ascii="Calibri" w:eastAsia="Calibri" w:hAnsi="Calibri" w:cs="Arial"/>
                <w:sz w:val="20"/>
                <w:szCs w:val="20"/>
              </w:rPr>
              <w:t>.</w:t>
            </w:r>
          </w:p>
          <w:p w:rsidR="00AB3A3C" w:rsidRPr="00B161C7" w:rsidRDefault="00AB3A3C" w:rsidP="00D35636">
            <w:pPr>
              <w:spacing w:after="0" w:line="240" w:lineRule="auto"/>
              <w:rPr>
                <w:rFonts w:ascii="Calibri" w:eastAsia="Calibri" w:hAnsi="Calibri" w:cs="Arial"/>
                <w:sz w:val="20"/>
                <w:szCs w:val="20"/>
              </w:rPr>
            </w:pPr>
          </w:p>
          <w:p w:rsidR="00AB3A3C" w:rsidRPr="00B161C7" w:rsidRDefault="00AB3A3C" w:rsidP="00D35636">
            <w:pPr>
              <w:spacing w:after="0" w:line="240" w:lineRule="auto"/>
              <w:rPr>
                <w:rFonts w:ascii="Calibri" w:eastAsia="Calibri" w:hAnsi="Calibri" w:cs="Arial"/>
                <w:sz w:val="20"/>
                <w:szCs w:val="20"/>
              </w:rPr>
            </w:pPr>
            <w:r w:rsidRPr="00B161C7">
              <w:rPr>
                <w:rFonts w:ascii="Calibri" w:eastAsia="Calibri" w:hAnsi="Calibri" w:cs="Arial"/>
                <w:sz w:val="20"/>
                <w:szCs w:val="20"/>
              </w:rPr>
              <w:t xml:space="preserve">One CPG for knee OA did not make a recommendation due to uncertainty </w:t>
            </w:r>
            <w:r w:rsidRPr="005038FB">
              <w:rPr>
                <w:rFonts w:ascii="Calibri" w:eastAsia="Calibri" w:hAnsi="Calibri" w:cs="Arial"/>
                <w:noProof/>
                <w:sz w:val="20"/>
                <w:szCs w:val="20"/>
                <w:vertAlign w:val="superscript"/>
              </w:rPr>
              <w:t>39</w:t>
            </w:r>
            <w:r w:rsidRPr="00B161C7">
              <w:rPr>
                <w:rFonts w:ascii="Calibri" w:eastAsia="Calibri" w:hAnsi="Calibri" w:cs="Arial"/>
                <w:sz w:val="20"/>
                <w:szCs w:val="20"/>
              </w:rPr>
              <w:t xml:space="preserve">. Alternatively the NICE CPG made a weak recommendation to include manual therapy as an adjunct to core treatments, especially for hip OA </w:t>
            </w:r>
            <w:r w:rsidRPr="005038FB">
              <w:rPr>
                <w:rFonts w:ascii="Calibri" w:eastAsia="Calibri" w:hAnsi="Calibri" w:cs="Arial"/>
                <w:noProof/>
                <w:sz w:val="20"/>
                <w:szCs w:val="20"/>
                <w:vertAlign w:val="superscript"/>
              </w:rPr>
              <w:t>45</w:t>
            </w:r>
            <w:r w:rsidRPr="00B161C7">
              <w:rPr>
                <w:rFonts w:ascii="Calibri" w:eastAsia="Calibri" w:hAnsi="Calibri" w:cs="Arial"/>
                <w:sz w:val="20"/>
                <w:szCs w:val="20"/>
              </w:rPr>
              <w:t xml:space="preserve">. The rotator cuff CPG made a weak recommendation to include manual therapy in conjunction with prescribed exercise </w:t>
            </w:r>
            <w:r w:rsidRPr="005038FB">
              <w:rPr>
                <w:rFonts w:ascii="Calibri" w:eastAsia="Calibri" w:hAnsi="Calibri" w:cs="Arial"/>
                <w:noProof/>
                <w:sz w:val="20"/>
                <w:szCs w:val="20"/>
                <w:vertAlign w:val="superscript"/>
              </w:rPr>
              <w:t>41</w:t>
            </w:r>
            <w:r w:rsidRPr="00B161C7">
              <w:rPr>
                <w:rFonts w:ascii="Calibri" w:eastAsia="Calibri" w:hAnsi="Calibri" w:cs="Arial"/>
                <w:sz w:val="20"/>
                <w:szCs w:val="20"/>
              </w:rPr>
              <w:t xml:space="preserve">. </w:t>
            </w:r>
          </w:p>
          <w:p w:rsidR="00AB3A3C" w:rsidRPr="00B161C7" w:rsidRDefault="00AB3A3C" w:rsidP="00D35636">
            <w:pPr>
              <w:spacing w:after="0" w:line="240" w:lineRule="auto"/>
              <w:rPr>
                <w:rFonts w:ascii="Calibri" w:eastAsia="Calibri" w:hAnsi="Calibri" w:cs="Arial"/>
                <w:sz w:val="20"/>
                <w:szCs w:val="20"/>
              </w:rPr>
            </w:pPr>
          </w:p>
          <w:p w:rsidR="00AB3A3C" w:rsidRPr="00B161C7" w:rsidRDefault="00AB3A3C" w:rsidP="00D35636">
            <w:pPr>
              <w:spacing w:after="0" w:line="240" w:lineRule="auto"/>
              <w:rPr>
                <w:rFonts w:ascii="Calibri" w:eastAsia="Calibri" w:hAnsi="Calibri" w:cs="Arial"/>
                <w:sz w:val="20"/>
                <w:szCs w:val="20"/>
                <w:highlight w:val="yellow"/>
              </w:rPr>
            </w:pPr>
            <w:r w:rsidRPr="00B161C7">
              <w:rPr>
                <w:rFonts w:ascii="Calibri" w:eastAsia="Calibri" w:hAnsi="Calibri" w:cs="Arial"/>
                <w:sz w:val="20"/>
                <w:szCs w:val="20"/>
                <w:highlight w:val="yellow"/>
              </w:rPr>
              <w:t xml:space="preserve">Consensus across MSK pain conditions: </w:t>
            </w:r>
          </w:p>
          <w:p w:rsidR="00AB3A3C" w:rsidRPr="00B161C7" w:rsidRDefault="00AB3A3C" w:rsidP="00AB3A3C">
            <w:pPr>
              <w:numPr>
                <w:ilvl w:val="0"/>
                <w:numId w:val="6"/>
              </w:numPr>
              <w:spacing w:after="0" w:line="240" w:lineRule="auto"/>
              <w:contextualSpacing/>
              <w:rPr>
                <w:rFonts w:ascii="Calibri" w:eastAsia="Calibri" w:hAnsi="Calibri" w:cs="Arial"/>
                <w:sz w:val="20"/>
                <w:szCs w:val="20"/>
                <w:highlight w:val="yellow"/>
              </w:rPr>
            </w:pPr>
            <w:r w:rsidRPr="00B161C7">
              <w:rPr>
                <w:rFonts w:ascii="Calibri" w:eastAsia="Calibri" w:hAnsi="Calibri" w:cs="Arial"/>
                <w:sz w:val="20"/>
                <w:szCs w:val="20"/>
                <w:highlight w:val="yellow"/>
              </w:rPr>
              <w:t xml:space="preserve">Apply manual therapy only as an adjunct to other evidence based treatments. </w:t>
            </w:r>
          </w:p>
          <w:p w:rsidR="00AB3A3C" w:rsidRPr="00B161C7" w:rsidRDefault="00AB3A3C" w:rsidP="00D35636">
            <w:pPr>
              <w:spacing w:after="0" w:line="240" w:lineRule="auto"/>
              <w:rPr>
                <w:rFonts w:ascii="Calibri" w:eastAsia="Calibri" w:hAnsi="Calibri" w:cs="Arial"/>
                <w:sz w:val="20"/>
                <w:szCs w:val="20"/>
                <w:u w:val="single"/>
              </w:rPr>
            </w:pPr>
          </w:p>
          <w:p w:rsidR="00AB3A3C" w:rsidRPr="00B161C7" w:rsidRDefault="00AB3A3C" w:rsidP="00D35636">
            <w:pPr>
              <w:spacing w:after="0" w:line="240" w:lineRule="auto"/>
              <w:rPr>
                <w:rFonts w:ascii="Calibri" w:eastAsia="Calibri" w:hAnsi="Calibri" w:cs="Arial"/>
                <w:sz w:val="20"/>
                <w:szCs w:val="20"/>
                <w:u w:val="single"/>
              </w:rPr>
            </w:pPr>
            <w:r w:rsidRPr="00B161C7">
              <w:rPr>
                <w:rFonts w:ascii="Calibri" w:eastAsia="Calibri" w:hAnsi="Calibri" w:cs="Arial"/>
                <w:sz w:val="20"/>
                <w:szCs w:val="20"/>
                <w:u w:val="single"/>
              </w:rPr>
              <w:t xml:space="preserve">Electrotherapy </w:t>
            </w:r>
          </w:p>
          <w:p w:rsidR="00AB3A3C" w:rsidRPr="00B161C7" w:rsidRDefault="00AB3A3C" w:rsidP="00D35636">
            <w:pPr>
              <w:spacing w:after="0" w:line="240" w:lineRule="auto"/>
              <w:rPr>
                <w:rFonts w:ascii="Calibri" w:eastAsia="Calibri" w:hAnsi="Calibri" w:cs="Arial"/>
                <w:sz w:val="20"/>
                <w:szCs w:val="20"/>
              </w:rPr>
            </w:pPr>
            <w:r w:rsidRPr="00B161C7">
              <w:rPr>
                <w:rFonts w:ascii="Calibri" w:eastAsia="Calibri" w:hAnsi="Calibri" w:cs="Arial"/>
                <w:sz w:val="20"/>
                <w:szCs w:val="20"/>
              </w:rPr>
              <w:t xml:space="preserve">The majority of CPGs recommended against or offered no recommendations for the use of electrotherapeutic agents. The exceptions were consideration of transcutaneous electrical nerve stimulation (TENS) for pain relief in knee OA </w:t>
            </w:r>
            <w:r w:rsidRPr="005038FB">
              <w:rPr>
                <w:rFonts w:ascii="Calibri" w:eastAsia="Calibri" w:hAnsi="Calibri" w:cs="Arial"/>
                <w:noProof/>
                <w:sz w:val="20"/>
                <w:szCs w:val="20"/>
                <w:vertAlign w:val="superscript"/>
              </w:rPr>
              <w:t>45</w:t>
            </w:r>
            <w:r w:rsidRPr="00B161C7">
              <w:rPr>
                <w:rFonts w:ascii="Calibri" w:eastAsia="Calibri" w:hAnsi="Calibri" w:cs="Arial"/>
                <w:sz w:val="20"/>
                <w:szCs w:val="20"/>
              </w:rPr>
              <w:t xml:space="preserve">, therapeutic pulsed ultrasound or low level laser therapy for persistent NAD, grade III and I-II respectively </w:t>
            </w:r>
            <w:r w:rsidRPr="005038FB">
              <w:rPr>
                <w:rFonts w:ascii="Calibri" w:eastAsia="Calibri" w:hAnsi="Calibri" w:cs="Arial"/>
                <w:noProof/>
                <w:sz w:val="20"/>
                <w:szCs w:val="20"/>
                <w:vertAlign w:val="superscript"/>
              </w:rPr>
              <w:t>33</w:t>
            </w:r>
            <w:r w:rsidRPr="00B161C7">
              <w:rPr>
                <w:rFonts w:ascii="Calibri" w:eastAsia="Calibri" w:hAnsi="Calibri" w:cs="Arial"/>
                <w:sz w:val="20"/>
                <w:szCs w:val="20"/>
              </w:rPr>
              <w:t xml:space="preserve"> </w:t>
            </w:r>
            <w:r w:rsidRPr="005038FB">
              <w:rPr>
                <w:rFonts w:ascii="Calibri" w:eastAsia="Calibri" w:hAnsi="Calibri" w:cs="Arial"/>
                <w:noProof/>
                <w:sz w:val="20"/>
                <w:szCs w:val="20"/>
                <w:vertAlign w:val="superscript"/>
              </w:rPr>
              <w:t>34</w:t>
            </w:r>
            <w:r w:rsidRPr="00B161C7">
              <w:rPr>
                <w:rFonts w:ascii="Calibri" w:eastAsia="Calibri" w:hAnsi="Calibri" w:cs="Arial"/>
                <w:sz w:val="20"/>
                <w:szCs w:val="20"/>
              </w:rPr>
              <w:t xml:space="preserve">, or based on clinician judgement and patient preference </w:t>
            </w:r>
            <w:r w:rsidRPr="005038FB">
              <w:rPr>
                <w:rFonts w:ascii="Calibri" w:eastAsia="Calibri" w:hAnsi="Calibri" w:cs="Arial"/>
                <w:noProof/>
                <w:sz w:val="20"/>
                <w:szCs w:val="20"/>
                <w:vertAlign w:val="superscript"/>
              </w:rPr>
              <w:t>37</w:t>
            </w:r>
            <w:r w:rsidRPr="00B161C7">
              <w:rPr>
                <w:rFonts w:ascii="Calibri" w:eastAsia="Calibri" w:hAnsi="Calibri" w:cs="Arial"/>
                <w:sz w:val="20"/>
                <w:szCs w:val="20"/>
              </w:rPr>
              <w:t xml:space="preserve">. In contrast other CPGs recommended against TENS for LBP care </w:t>
            </w:r>
            <w:r w:rsidRPr="005038FB">
              <w:rPr>
                <w:rFonts w:ascii="Calibri" w:eastAsia="Calibri" w:hAnsi="Calibri" w:cs="Arial"/>
                <w:noProof/>
                <w:sz w:val="20"/>
                <w:szCs w:val="20"/>
                <w:vertAlign w:val="superscript"/>
              </w:rPr>
              <w:t>35 38</w:t>
            </w:r>
            <w:r w:rsidRPr="00B161C7">
              <w:rPr>
                <w:rFonts w:ascii="Calibri" w:eastAsia="Calibri" w:hAnsi="Calibri" w:cs="Arial"/>
                <w:sz w:val="20"/>
                <w:szCs w:val="20"/>
              </w:rPr>
              <w:t xml:space="preserve">, electrotherapy for recent-onset NAD </w:t>
            </w:r>
            <w:r w:rsidRPr="005038FB">
              <w:rPr>
                <w:rFonts w:ascii="Calibri" w:eastAsia="Calibri" w:hAnsi="Calibri" w:cs="Arial"/>
                <w:noProof/>
                <w:sz w:val="20"/>
                <w:szCs w:val="20"/>
                <w:vertAlign w:val="superscript"/>
              </w:rPr>
              <w:t>34</w:t>
            </w:r>
            <w:r w:rsidRPr="00B161C7">
              <w:rPr>
                <w:rFonts w:ascii="Calibri" w:eastAsia="Calibri" w:hAnsi="Calibri" w:cs="Arial"/>
                <w:sz w:val="20"/>
                <w:szCs w:val="20"/>
              </w:rPr>
              <w:t xml:space="preserve">, ultrasound for rotator cuff disorders </w:t>
            </w:r>
            <w:r w:rsidRPr="005038FB">
              <w:rPr>
                <w:rFonts w:ascii="Calibri" w:eastAsia="Calibri" w:hAnsi="Calibri" w:cs="Arial"/>
                <w:noProof/>
                <w:sz w:val="20"/>
                <w:szCs w:val="20"/>
                <w:vertAlign w:val="superscript"/>
              </w:rPr>
              <w:t>41</w:t>
            </w:r>
            <w:r w:rsidRPr="00B161C7">
              <w:rPr>
                <w:rFonts w:ascii="Calibri" w:eastAsia="Calibri" w:hAnsi="Calibri" w:cs="Arial"/>
                <w:sz w:val="20"/>
                <w:szCs w:val="20"/>
              </w:rPr>
              <w:t xml:space="preserve">, electrotherapy for knee OA </w:t>
            </w:r>
            <w:r w:rsidRPr="005038FB">
              <w:rPr>
                <w:rFonts w:ascii="Calibri" w:eastAsia="Calibri" w:hAnsi="Calibri" w:cs="Arial"/>
                <w:noProof/>
                <w:sz w:val="20"/>
                <w:szCs w:val="20"/>
                <w:vertAlign w:val="superscript"/>
              </w:rPr>
              <w:t>42</w:t>
            </w:r>
            <w:r w:rsidRPr="00B161C7">
              <w:rPr>
                <w:rFonts w:ascii="Calibri" w:eastAsia="Calibri" w:hAnsi="Calibri" w:cs="Arial"/>
                <w:sz w:val="20"/>
                <w:szCs w:val="20"/>
              </w:rPr>
              <w:t xml:space="preserve"> and ultrasound for LBP </w:t>
            </w:r>
            <w:r w:rsidRPr="005038FB">
              <w:rPr>
                <w:rFonts w:ascii="Calibri" w:eastAsia="Calibri" w:hAnsi="Calibri" w:cs="Arial"/>
                <w:noProof/>
                <w:sz w:val="20"/>
                <w:szCs w:val="20"/>
                <w:vertAlign w:val="superscript"/>
              </w:rPr>
              <w:t>35 38</w:t>
            </w:r>
            <w:r w:rsidRPr="00B161C7">
              <w:rPr>
                <w:rFonts w:ascii="Calibri" w:eastAsia="Calibri" w:hAnsi="Calibri" w:cs="Arial"/>
                <w:sz w:val="20"/>
                <w:szCs w:val="20"/>
              </w:rPr>
              <w:t xml:space="preserve">. </w:t>
            </w:r>
          </w:p>
          <w:p w:rsidR="00AB3A3C" w:rsidRPr="00B161C7" w:rsidRDefault="00AB3A3C" w:rsidP="00D35636">
            <w:pPr>
              <w:spacing w:after="0" w:line="240" w:lineRule="auto"/>
              <w:rPr>
                <w:rFonts w:ascii="Calibri" w:eastAsia="Calibri" w:hAnsi="Calibri" w:cs="Arial"/>
                <w:sz w:val="20"/>
                <w:szCs w:val="20"/>
              </w:rPr>
            </w:pPr>
          </w:p>
          <w:p w:rsidR="00AB3A3C" w:rsidRPr="00B161C7" w:rsidRDefault="00AB3A3C" w:rsidP="00D35636">
            <w:pPr>
              <w:spacing w:after="0" w:line="240" w:lineRule="auto"/>
              <w:rPr>
                <w:rFonts w:ascii="Calibri" w:eastAsia="Calibri" w:hAnsi="Calibri" w:cs="Arial"/>
                <w:sz w:val="20"/>
                <w:szCs w:val="20"/>
              </w:rPr>
            </w:pPr>
            <w:r w:rsidRPr="00B161C7">
              <w:rPr>
                <w:rFonts w:ascii="Calibri" w:eastAsia="Calibri" w:hAnsi="Calibri" w:cs="Arial"/>
                <w:sz w:val="20"/>
                <w:szCs w:val="20"/>
              </w:rPr>
              <w:t xml:space="preserve">Notes: While we were unable to generate a consensus, use of electrotherapy was generally discouraged and there were no ‘should do’ recommendations.   </w:t>
            </w:r>
          </w:p>
          <w:p w:rsidR="00AB3A3C" w:rsidRPr="00B161C7" w:rsidRDefault="00AB3A3C" w:rsidP="00D35636">
            <w:pPr>
              <w:spacing w:after="0" w:line="240" w:lineRule="auto"/>
              <w:rPr>
                <w:rFonts w:ascii="Calibri" w:eastAsia="Calibri" w:hAnsi="Calibri" w:cs="Arial"/>
                <w:sz w:val="20"/>
                <w:szCs w:val="20"/>
              </w:rPr>
            </w:pPr>
          </w:p>
          <w:p w:rsidR="00AB3A3C" w:rsidRPr="00B161C7" w:rsidRDefault="00AB3A3C" w:rsidP="00D35636">
            <w:pPr>
              <w:spacing w:after="0" w:line="240" w:lineRule="auto"/>
              <w:rPr>
                <w:rFonts w:ascii="Calibri" w:eastAsia="Calibri" w:hAnsi="Calibri" w:cs="Arial"/>
                <w:sz w:val="20"/>
                <w:szCs w:val="20"/>
                <w:u w:val="single"/>
              </w:rPr>
            </w:pPr>
            <w:r w:rsidRPr="00B161C7">
              <w:rPr>
                <w:rFonts w:ascii="Calibri" w:eastAsia="Calibri" w:hAnsi="Calibri" w:cs="Arial"/>
                <w:sz w:val="20"/>
                <w:szCs w:val="20"/>
                <w:u w:val="single"/>
              </w:rPr>
              <w:t>Braces/Orthoses and Assistive Devices</w:t>
            </w:r>
          </w:p>
          <w:p w:rsidR="00AB3A3C" w:rsidRPr="00B161C7" w:rsidRDefault="00AB3A3C" w:rsidP="00D35636">
            <w:pPr>
              <w:spacing w:after="0" w:line="240" w:lineRule="auto"/>
              <w:rPr>
                <w:rFonts w:ascii="Calibri" w:eastAsia="Calibri" w:hAnsi="Calibri" w:cs="Arial"/>
                <w:sz w:val="20"/>
                <w:szCs w:val="20"/>
              </w:rPr>
            </w:pPr>
            <w:r w:rsidRPr="00B161C7">
              <w:rPr>
                <w:rFonts w:ascii="Calibri" w:eastAsia="Calibri" w:hAnsi="Calibri" w:cs="Arial"/>
                <w:sz w:val="20"/>
                <w:szCs w:val="20"/>
              </w:rPr>
              <w:t xml:space="preserve">OA CPGs recommended considering appropriate footwear </w:t>
            </w:r>
            <w:r w:rsidRPr="005038FB">
              <w:rPr>
                <w:rFonts w:ascii="Calibri" w:eastAsia="Calibri" w:hAnsi="Calibri" w:cs="Arial"/>
                <w:noProof/>
                <w:sz w:val="20"/>
                <w:szCs w:val="20"/>
                <w:vertAlign w:val="superscript"/>
              </w:rPr>
              <w:t>36 45</w:t>
            </w:r>
            <w:r w:rsidRPr="00B161C7">
              <w:rPr>
                <w:rFonts w:ascii="Calibri" w:eastAsia="Calibri" w:hAnsi="Calibri" w:cs="Arial"/>
                <w:sz w:val="20"/>
                <w:szCs w:val="20"/>
              </w:rPr>
              <w:t xml:space="preserve"> and knee braces </w:t>
            </w:r>
            <w:r w:rsidRPr="005038FB">
              <w:rPr>
                <w:rFonts w:ascii="Calibri" w:eastAsia="Calibri" w:hAnsi="Calibri" w:cs="Arial"/>
                <w:noProof/>
                <w:sz w:val="20"/>
                <w:szCs w:val="20"/>
                <w:vertAlign w:val="superscript"/>
              </w:rPr>
              <w:t>42 45</w:t>
            </w:r>
            <w:r w:rsidRPr="00B161C7">
              <w:rPr>
                <w:rFonts w:ascii="Calibri" w:eastAsia="Calibri" w:hAnsi="Calibri" w:cs="Arial"/>
                <w:sz w:val="20"/>
                <w:szCs w:val="20"/>
              </w:rPr>
              <w:t xml:space="preserve">, although one CPG noted inconsistent findings and a lack of appropriate research with respect to valgus directing force knee braces </w:t>
            </w:r>
            <w:r w:rsidRPr="005038FB">
              <w:rPr>
                <w:rFonts w:ascii="Calibri" w:eastAsia="Calibri" w:hAnsi="Calibri" w:cs="Arial"/>
                <w:noProof/>
                <w:sz w:val="20"/>
                <w:szCs w:val="20"/>
                <w:vertAlign w:val="superscript"/>
              </w:rPr>
              <w:t>58</w:t>
            </w:r>
            <w:r w:rsidRPr="00B161C7">
              <w:rPr>
                <w:rFonts w:ascii="Calibri" w:eastAsia="Calibri" w:hAnsi="Calibri" w:cs="Arial"/>
                <w:sz w:val="20"/>
                <w:szCs w:val="20"/>
              </w:rPr>
              <w:t xml:space="preserve">. Two CPGs recommended against lumbar belts or corsets for LBP </w:t>
            </w:r>
            <w:r w:rsidRPr="005038FB">
              <w:rPr>
                <w:rFonts w:ascii="Calibri" w:eastAsia="Calibri" w:hAnsi="Calibri" w:cs="Arial"/>
                <w:noProof/>
                <w:sz w:val="20"/>
                <w:szCs w:val="20"/>
                <w:vertAlign w:val="superscript"/>
              </w:rPr>
              <w:t>35 38</w:t>
            </w:r>
            <w:r w:rsidRPr="00B161C7">
              <w:rPr>
                <w:rFonts w:ascii="Calibri" w:eastAsia="Calibri" w:hAnsi="Calibri" w:cs="Arial"/>
                <w:sz w:val="20"/>
                <w:szCs w:val="20"/>
              </w:rPr>
              <w:t xml:space="preserve">. Another recommended against routine use of lumbar supports although suggested cautious consideration based on clinician judgment, patient presentation, and preferences </w:t>
            </w:r>
            <w:r w:rsidRPr="005038FB">
              <w:rPr>
                <w:rFonts w:ascii="Calibri" w:eastAsia="Calibri" w:hAnsi="Calibri" w:cs="Arial"/>
                <w:noProof/>
                <w:sz w:val="20"/>
                <w:szCs w:val="20"/>
                <w:vertAlign w:val="superscript"/>
              </w:rPr>
              <w:t>37</w:t>
            </w:r>
            <w:r w:rsidRPr="00B161C7">
              <w:rPr>
                <w:rFonts w:ascii="Calibri" w:eastAsia="Calibri" w:hAnsi="Calibri" w:cs="Arial"/>
                <w:sz w:val="20"/>
                <w:szCs w:val="20"/>
              </w:rPr>
              <w:t xml:space="preserve">. Two CPGs recommended against rocker shoes or foot orthotics for LBP care </w:t>
            </w:r>
            <w:r w:rsidRPr="005038FB">
              <w:rPr>
                <w:rFonts w:ascii="Calibri" w:eastAsia="Calibri" w:hAnsi="Calibri" w:cs="Arial"/>
                <w:noProof/>
                <w:sz w:val="20"/>
                <w:szCs w:val="20"/>
                <w:vertAlign w:val="superscript"/>
              </w:rPr>
              <w:t>35 38</w:t>
            </w:r>
            <w:r w:rsidRPr="00B161C7">
              <w:rPr>
                <w:rFonts w:ascii="Calibri" w:eastAsia="Calibri" w:hAnsi="Calibri" w:cs="Arial"/>
                <w:sz w:val="20"/>
                <w:szCs w:val="20"/>
              </w:rPr>
              <w:t xml:space="preserve">. One CPG recommended against use of a cervical collar for recent onset NAD grade I-II, or recent or persistent NAD grade III </w:t>
            </w:r>
            <w:r w:rsidRPr="005038FB">
              <w:rPr>
                <w:rFonts w:ascii="Calibri" w:eastAsia="Calibri" w:hAnsi="Calibri" w:cs="Arial"/>
                <w:noProof/>
                <w:sz w:val="20"/>
                <w:szCs w:val="20"/>
                <w:vertAlign w:val="superscript"/>
              </w:rPr>
              <w:t>34</w:t>
            </w:r>
            <w:r w:rsidRPr="00B161C7">
              <w:rPr>
                <w:rFonts w:ascii="Calibri" w:eastAsia="Calibri" w:hAnsi="Calibri" w:cs="Arial"/>
                <w:sz w:val="20"/>
                <w:szCs w:val="20"/>
              </w:rPr>
              <w:t xml:space="preserve">, whilst another CPG </w:t>
            </w:r>
            <w:r w:rsidRPr="00B161C7">
              <w:rPr>
                <w:rFonts w:ascii="Calibri" w:eastAsia="Calibri" w:hAnsi="Calibri" w:cs="Arial"/>
                <w:sz w:val="20"/>
                <w:szCs w:val="20"/>
              </w:rPr>
              <w:lastRenderedPageBreak/>
              <w:t xml:space="preserve">for NAD did not recommend against cervical collar use for recent onset NAD grade III </w:t>
            </w:r>
            <w:r w:rsidRPr="005038FB">
              <w:rPr>
                <w:rFonts w:ascii="Calibri" w:eastAsia="Calibri" w:hAnsi="Calibri" w:cs="Arial"/>
                <w:noProof/>
                <w:sz w:val="20"/>
                <w:szCs w:val="20"/>
                <w:vertAlign w:val="superscript"/>
              </w:rPr>
              <w:t>33</w:t>
            </w:r>
            <w:r w:rsidRPr="00B161C7">
              <w:rPr>
                <w:rFonts w:ascii="Calibri" w:eastAsia="Calibri" w:hAnsi="Calibri" w:cs="Arial"/>
                <w:sz w:val="20"/>
                <w:szCs w:val="20"/>
              </w:rPr>
              <w:t xml:space="preserve">. Assistive aids such as walking sticks or frames should be considered to reduce pain when walking in knee/hip OA </w:t>
            </w:r>
            <w:r w:rsidRPr="005038FB">
              <w:rPr>
                <w:rFonts w:ascii="Calibri" w:eastAsia="Calibri" w:hAnsi="Calibri" w:cs="Arial"/>
                <w:noProof/>
                <w:sz w:val="20"/>
                <w:szCs w:val="20"/>
                <w:vertAlign w:val="superscript"/>
              </w:rPr>
              <w:t>36 42 45</w:t>
            </w:r>
            <w:r w:rsidRPr="00B161C7">
              <w:rPr>
                <w:rFonts w:ascii="Calibri" w:eastAsia="Calibri" w:hAnsi="Calibri" w:cs="Arial"/>
                <w:sz w:val="20"/>
                <w:szCs w:val="20"/>
              </w:rPr>
              <w:t xml:space="preserve">. </w:t>
            </w:r>
          </w:p>
          <w:p w:rsidR="00AB3A3C" w:rsidRPr="00B161C7" w:rsidRDefault="00AB3A3C" w:rsidP="00D35636">
            <w:pPr>
              <w:spacing w:after="0" w:line="240" w:lineRule="auto"/>
              <w:rPr>
                <w:rFonts w:ascii="Calibri" w:eastAsia="Calibri" w:hAnsi="Calibri" w:cs="Arial"/>
                <w:sz w:val="20"/>
                <w:szCs w:val="20"/>
              </w:rPr>
            </w:pPr>
          </w:p>
          <w:p w:rsidR="00AB3A3C" w:rsidRPr="00B161C7" w:rsidRDefault="00AB3A3C" w:rsidP="00D35636">
            <w:pPr>
              <w:spacing w:after="0" w:line="240" w:lineRule="auto"/>
              <w:rPr>
                <w:rFonts w:ascii="Calibri" w:eastAsia="Calibri" w:hAnsi="Calibri" w:cs="Arial"/>
                <w:sz w:val="20"/>
                <w:szCs w:val="20"/>
              </w:rPr>
            </w:pPr>
            <w:r w:rsidRPr="00B161C7">
              <w:rPr>
                <w:rFonts w:ascii="Calibri" w:eastAsia="Calibri" w:hAnsi="Calibri" w:cs="Arial"/>
                <w:sz w:val="20"/>
                <w:szCs w:val="20"/>
                <w:highlight w:val="green"/>
              </w:rPr>
              <w:t>Consensus for one MSK pain condition: Rocker shoes or foot orthotics should not be used to manage LBP.</w:t>
            </w:r>
          </w:p>
          <w:p w:rsidR="00AB3A3C" w:rsidRPr="00B161C7" w:rsidRDefault="00AB3A3C" w:rsidP="00D35636">
            <w:pPr>
              <w:spacing w:after="0" w:line="240" w:lineRule="auto"/>
              <w:rPr>
                <w:rFonts w:ascii="Calibri" w:eastAsia="Calibri" w:hAnsi="Calibri" w:cs="Arial"/>
                <w:sz w:val="20"/>
                <w:szCs w:val="20"/>
                <w:u w:val="single"/>
              </w:rPr>
            </w:pPr>
          </w:p>
        </w:tc>
      </w:tr>
      <w:tr w:rsidR="00AB3A3C" w:rsidRPr="00B161C7" w:rsidTr="00D35636">
        <w:tc>
          <w:tcPr>
            <w:tcW w:w="811" w:type="pct"/>
          </w:tcPr>
          <w:p w:rsidR="00AB3A3C" w:rsidRPr="00B161C7" w:rsidRDefault="00AB3A3C" w:rsidP="00D35636">
            <w:pPr>
              <w:spacing w:after="0" w:line="240" w:lineRule="auto"/>
              <w:rPr>
                <w:rFonts w:ascii="Calibri" w:eastAsia="Calibri" w:hAnsi="Calibri" w:cs="Arial"/>
                <w:sz w:val="20"/>
                <w:szCs w:val="20"/>
              </w:rPr>
            </w:pPr>
            <w:r w:rsidRPr="00B161C7">
              <w:rPr>
                <w:rFonts w:ascii="Calibri" w:eastAsia="Calibri" w:hAnsi="Calibri" w:cs="Arial"/>
                <w:sz w:val="20"/>
                <w:szCs w:val="20"/>
              </w:rPr>
              <w:lastRenderedPageBreak/>
              <w:t>Psychological therapies</w:t>
            </w:r>
          </w:p>
          <w:p w:rsidR="00AB3A3C" w:rsidRPr="00B161C7" w:rsidRDefault="00AB3A3C" w:rsidP="00D35636">
            <w:pPr>
              <w:spacing w:after="0" w:line="240" w:lineRule="auto"/>
              <w:rPr>
                <w:rFonts w:ascii="Calibri" w:eastAsia="Calibri" w:hAnsi="Calibri" w:cs="Arial"/>
                <w:sz w:val="20"/>
                <w:szCs w:val="20"/>
              </w:rPr>
            </w:pPr>
          </w:p>
        </w:tc>
        <w:tc>
          <w:tcPr>
            <w:tcW w:w="4189" w:type="pct"/>
          </w:tcPr>
          <w:p w:rsidR="00AB3A3C" w:rsidRPr="00B161C7" w:rsidRDefault="00AB3A3C" w:rsidP="00D35636">
            <w:pPr>
              <w:spacing w:after="0" w:line="240" w:lineRule="auto"/>
              <w:rPr>
                <w:rFonts w:ascii="Calibri" w:eastAsia="Calibri" w:hAnsi="Calibri" w:cs="Arial"/>
                <w:sz w:val="20"/>
                <w:szCs w:val="20"/>
              </w:rPr>
            </w:pPr>
            <w:r w:rsidRPr="00B161C7">
              <w:rPr>
                <w:rFonts w:ascii="Calibri" w:eastAsia="Calibri" w:hAnsi="Calibri" w:cs="Arial"/>
                <w:sz w:val="20"/>
                <w:szCs w:val="20"/>
              </w:rPr>
              <w:t xml:space="preserve">Psychological therapies were only recommended in the management of LBP and NAD. </w:t>
            </w:r>
          </w:p>
          <w:p w:rsidR="00AB3A3C" w:rsidRPr="00B161C7" w:rsidRDefault="00AB3A3C" w:rsidP="00D35636">
            <w:pPr>
              <w:spacing w:after="0" w:line="240" w:lineRule="auto"/>
              <w:rPr>
                <w:rFonts w:ascii="Calibri" w:eastAsia="Calibri" w:hAnsi="Calibri" w:cs="Arial"/>
                <w:sz w:val="20"/>
                <w:szCs w:val="20"/>
              </w:rPr>
            </w:pPr>
          </w:p>
          <w:p w:rsidR="00AB3A3C" w:rsidRPr="00B161C7" w:rsidRDefault="00AB3A3C" w:rsidP="00D35636">
            <w:pPr>
              <w:spacing w:after="0" w:line="240" w:lineRule="auto"/>
              <w:rPr>
                <w:rFonts w:ascii="Calibri" w:eastAsia="Calibri" w:hAnsi="Calibri" w:cs="Arial"/>
                <w:sz w:val="20"/>
                <w:szCs w:val="20"/>
              </w:rPr>
            </w:pPr>
            <w:r w:rsidRPr="00B161C7">
              <w:rPr>
                <w:rFonts w:ascii="Calibri" w:eastAsia="Calibri" w:hAnsi="Calibri" w:cs="Arial"/>
                <w:sz w:val="20"/>
                <w:szCs w:val="20"/>
              </w:rPr>
              <w:t xml:space="preserve">All LBP CPGs offered weak recommendations for psychological therapies. Three CPGs discussed offering a cognitive behavioural approach </w:t>
            </w:r>
            <w:r w:rsidRPr="005038FB">
              <w:rPr>
                <w:rFonts w:ascii="Calibri" w:eastAsia="Calibri" w:hAnsi="Calibri" w:cs="Arial"/>
                <w:noProof/>
                <w:sz w:val="20"/>
                <w:szCs w:val="20"/>
                <w:vertAlign w:val="superscript"/>
              </w:rPr>
              <w:t>35 38</w:t>
            </w:r>
            <w:r w:rsidRPr="00B161C7">
              <w:rPr>
                <w:rFonts w:ascii="Calibri" w:eastAsia="Calibri" w:hAnsi="Calibri" w:cs="Arial"/>
                <w:sz w:val="20"/>
                <w:szCs w:val="20"/>
              </w:rPr>
              <w:t xml:space="preserve">, combined psychological and physical approach </w:t>
            </w:r>
            <w:r w:rsidRPr="005038FB">
              <w:rPr>
                <w:rFonts w:ascii="Calibri" w:eastAsia="Calibri" w:hAnsi="Calibri" w:cs="Arial"/>
                <w:noProof/>
                <w:sz w:val="20"/>
                <w:szCs w:val="20"/>
                <w:vertAlign w:val="superscript"/>
              </w:rPr>
              <w:t>35</w:t>
            </w:r>
            <w:r w:rsidRPr="00B161C7">
              <w:rPr>
                <w:rFonts w:ascii="Calibri" w:eastAsia="Calibri" w:hAnsi="Calibri" w:cs="Arial"/>
                <w:sz w:val="20"/>
                <w:szCs w:val="20"/>
              </w:rPr>
              <w:t xml:space="preserve">, or “consider psychosocial aspects of LBP” </w:t>
            </w:r>
            <w:r w:rsidRPr="005038FB">
              <w:rPr>
                <w:rFonts w:ascii="Calibri" w:eastAsia="Calibri" w:hAnsi="Calibri" w:cs="Arial"/>
                <w:noProof/>
                <w:sz w:val="20"/>
                <w:szCs w:val="20"/>
                <w:vertAlign w:val="superscript"/>
              </w:rPr>
              <w:t>40</w:t>
            </w:r>
            <w:r w:rsidRPr="00B161C7">
              <w:rPr>
                <w:rFonts w:ascii="Calibri" w:eastAsia="Calibri" w:hAnsi="Calibri" w:cs="Arial"/>
                <w:sz w:val="20"/>
                <w:szCs w:val="20"/>
              </w:rPr>
              <w:t xml:space="preserve"> based on individual needs and/or risk stratification. The chiropractic CPG recommended considering cognitive behavioural programs or psychosocial counselling in addition to spinal manipulation </w:t>
            </w:r>
            <w:r w:rsidRPr="005038FB">
              <w:rPr>
                <w:rFonts w:ascii="Calibri" w:eastAsia="Calibri" w:hAnsi="Calibri" w:cs="Arial"/>
                <w:noProof/>
                <w:sz w:val="20"/>
                <w:szCs w:val="20"/>
                <w:vertAlign w:val="superscript"/>
              </w:rPr>
              <w:t>37</w:t>
            </w:r>
            <w:r w:rsidRPr="00B161C7">
              <w:rPr>
                <w:rFonts w:ascii="Calibri" w:eastAsia="Calibri" w:hAnsi="Calibri" w:cs="Arial"/>
                <w:sz w:val="20"/>
                <w:szCs w:val="20"/>
              </w:rPr>
              <w:t xml:space="preserve">. </w:t>
            </w:r>
          </w:p>
          <w:p w:rsidR="00AB3A3C" w:rsidRPr="00B161C7" w:rsidRDefault="00AB3A3C" w:rsidP="00D35636">
            <w:pPr>
              <w:spacing w:after="0" w:line="240" w:lineRule="auto"/>
              <w:rPr>
                <w:rFonts w:ascii="Calibri" w:eastAsia="Calibri" w:hAnsi="Calibri" w:cs="Arial"/>
                <w:sz w:val="20"/>
                <w:szCs w:val="20"/>
              </w:rPr>
            </w:pPr>
          </w:p>
          <w:p w:rsidR="00AB3A3C" w:rsidRPr="00B161C7" w:rsidRDefault="00AB3A3C" w:rsidP="00D35636">
            <w:pPr>
              <w:spacing w:after="0" w:line="240" w:lineRule="auto"/>
              <w:rPr>
                <w:rFonts w:ascii="Calibri" w:eastAsia="Calibri" w:hAnsi="Calibri" w:cs="Arial"/>
                <w:sz w:val="20"/>
                <w:szCs w:val="20"/>
              </w:rPr>
            </w:pPr>
            <w:r w:rsidRPr="00B161C7">
              <w:rPr>
                <w:rFonts w:ascii="Calibri" w:eastAsia="Calibri" w:hAnsi="Calibri" w:cs="Arial"/>
                <w:sz w:val="20"/>
                <w:szCs w:val="20"/>
              </w:rPr>
              <w:t xml:space="preserve">For persistent NAD grades I-II, one CPG included a weak recommendation for stress-management programs that included relaxation, balance and body awareness exercises, pain and stress management lectures, and discussion </w:t>
            </w:r>
            <w:r w:rsidRPr="005038FB">
              <w:rPr>
                <w:rFonts w:ascii="Calibri" w:eastAsia="Calibri" w:hAnsi="Calibri" w:cs="Arial"/>
                <w:noProof/>
                <w:sz w:val="20"/>
                <w:szCs w:val="20"/>
                <w:vertAlign w:val="superscript"/>
              </w:rPr>
              <w:t>33</w:t>
            </w:r>
            <w:r w:rsidRPr="00B161C7">
              <w:rPr>
                <w:rFonts w:ascii="Calibri" w:eastAsia="Calibri" w:hAnsi="Calibri" w:cs="Arial"/>
                <w:sz w:val="20"/>
                <w:szCs w:val="20"/>
              </w:rPr>
              <w:t xml:space="preserve">. In contrast another CPG recommended against stand-alone relaxation training in isolation for persistent NAD grades I-II </w:t>
            </w:r>
            <w:r w:rsidRPr="005038FB">
              <w:rPr>
                <w:rFonts w:ascii="Calibri" w:eastAsia="Calibri" w:hAnsi="Calibri" w:cs="Arial"/>
                <w:noProof/>
                <w:sz w:val="20"/>
                <w:szCs w:val="20"/>
                <w:vertAlign w:val="superscript"/>
              </w:rPr>
              <w:t>34</w:t>
            </w:r>
            <w:r w:rsidRPr="00B161C7">
              <w:rPr>
                <w:rFonts w:ascii="Calibri" w:eastAsia="Calibri" w:hAnsi="Calibri" w:cs="Arial"/>
                <w:sz w:val="20"/>
                <w:szCs w:val="20"/>
              </w:rPr>
              <w:t>.</w:t>
            </w:r>
          </w:p>
          <w:p w:rsidR="00AB3A3C" w:rsidRPr="00B161C7" w:rsidRDefault="00AB3A3C" w:rsidP="00D35636">
            <w:pPr>
              <w:spacing w:after="0" w:line="240" w:lineRule="auto"/>
              <w:rPr>
                <w:rFonts w:ascii="Calibri" w:eastAsia="Calibri" w:hAnsi="Calibri" w:cs="Arial"/>
                <w:sz w:val="20"/>
                <w:szCs w:val="20"/>
              </w:rPr>
            </w:pPr>
          </w:p>
        </w:tc>
      </w:tr>
      <w:tr w:rsidR="00AB3A3C" w:rsidRPr="00B161C7" w:rsidTr="00D35636">
        <w:tc>
          <w:tcPr>
            <w:tcW w:w="811" w:type="pct"/>
          </w:tcPr>
          <w:p w:rsidR="00AB3A3C" w:rsidRPr="00B161C7" w:rsidRDefault="00AB3A3C" w:rsidP="00D35636">
            <w:pPr>
              <w:spacing w:after="0" w:line="240" w:lineRule="auto"/>
              <w:rPr>
                <w:rFonts w:ascii="Calibri" w:eastAsia="Calibri" w:hAnsi="Calibri" w:cs="Arial"/>
                <w:sz w:val="20"/>
                <w:szCs w:val="20"/>
              </w:rPr>
            </w:pPr>
            <w:r w:rsidRPr="00B161C7">
              <w:rPr>
                <w:rFonts w:ascii="Calibri" w:eastAsia="Calibri" w:hAnsi="Calibri" w:cs="Arial"/>
                <w:sz w:val="20"/>
                <w:szCs w:val="20"/>
              </w:rPr>
              <w:t xml:space="preserve">Passive Interventions – invasive </w:t>
            </w:r>
          </w:p>
        </w:tc>
        <w:tc>
          <w:tcPr>
            <w:tcW w:w="4189" w:type="pct"/>
          </w:tcPr>
          <w:p w:rsidR="00AB3A3C" w:rsidRPr="00B161C7" w:rsidRDefault="00AB3A3C" w:rsidP="00D35636">
            <w:pPr>
              <w:spacing w:after="0" w:line="240" w:lineRule="auto"/>
              <w:rPr>
                <w:rFonts w:ascii="Calibri" w:eastAsia="Calibri" w:hAnsi="Calibri" w:cs="Arial"/>
                <w:sz w:val="20"/>
                <w:szCs w:val="20"/>
                <w:u w:val="single"/>
              </w:rPr>
            </w:pPr>
            <w:r w:rsidRPr="00B161C7">
              <w:rPr>
                <w:rFonts w:ascii="Calibri" w:eastAsia="Calibri" w:hAnsi="Calibri" w:cs="Arial"/>
                <w:sz w:val="20"/>
                <w:szCs w:val="20"/>
                <w:u w:val="single"/>
              </w:rPr>
              <w:t>Surgery</w:t>
            </w:r>
          </w:p>
          <w:p w:rsidR="00AB3A3C" w:rsidRPr="00B161C7" w:rsidRDefault="00AB3A3C" w:rsidP="00D35636">
            <w:pPr>
              <w:spacing w:after="0" w:line="240" w:lineRule="auto"/>
              <w:rPr>
                <w:rFonts w:ascii="Calibri" w:eastAsia="Calibri" w:hAnsi="Calibri" w:cs="Arial"/>
                <w:sz w:val="20"/>
                <w:szCs w:val="20"/>
              </w:rPr>
            </w:pPr>
            <w:r w:rsidRPr="00B161C7">
              <w:rPr>
                <w:rFonts w:ascii="Calibri" w:eastAsia="Calibri" w:hAnsi="Calibri" w:cs="Arial"/>
                <w:sz w:val="20"/>
                <w:szCs w:val="20"/>
              </w:rPr>
              <w:t xml:space="preserve">Two CPGs for OA discussed surgery. Both CPGs recommended strongly against knee arthroscopic lavage and debridement for knee OA </w:t>
            </w:r>
            <w:r w:rsidRPr="005038FB">
              <w:rPr>
                <w:rFonts w:ascii="Calibri" w:eastAsia="Calibri" w:hAnsi="Calibri" w:cs="Arial"/>
                <w:noProof/>
                <w:sz w:val="20"/>
                <w:szCs w:val="20"/>
                <w:vertAlign w:val="superscript"/>
              </w:rPr>
              <w:t>39 45</w:t>
            </w:r>
            <w:r w:rsidRPr="00B161C7">
              <w:rPr>
                <w:rFonts w:ascii="Calibri" w:eastAsia="Calibri" w:hAnsi="Calibri" w:cs="Arial"/>
                <w:sz w:val="20"/>
                <w:szCs w:val="20"/>
              </w:rPr>
              <w:t xml:space="preserve"> with the exception being a clear history of mechanical locking </w:t>
            </w:r>
            <w:r w:rsidRPr="005038FB">
              <w:rPr>
                <w:rFonts w:ascii="Calibri" w:eastAsia="Calibri" w:hAnsi="Calibri" w:cs="Arial"/>
                <w:noProof/>
                <w:sz w:val="20"/>
                <w:szCs w:val="20"/>
                <w:vertAlign w:val="superscript"/>
              </w:rPr>
              <w:t>45</w:t>
            </w:r>
            <w:r w:rsidRPr="00B161C7">
              <w:rPr>
                <w:rFonts w:ascii="Calibri" w:eastAsia="Calibri" w:hAnsi="Calibri" w:cs="Arial"/>
                <w:sz w:val="20"/>
                <w:szCs w:val="20"/>
              </w:rPr>
              <w:t xml:space="preserve">. The NICE CPG strongly recommended ensuring patients have been offered core non-surgical treatments for OA prior to consideration of surgery </w:t>
            </w:r>
            <w:r w:rsidRPr="005038FB">
              <w:rPr>
                <w:rFonts w:ascii="Calibri" w:eastAsia="Calibri" w:hAnsi="Calibri" w:cs="Arial"/>
                <w:noProof/>
                <w:sz w:val="20"/>
                <w:szCs w:val="20"/>
                <w:vertAlign w:val="superscript"/>
              </w:rPr>
              <w:t>45</w:t>
            </w:r>
            <w:r w:rsidRPr="00B161C7">
              <w:rPr>
                <w:rFonts w:ascii="Calibri" w:eastAsia="Calibri" w:hAnsi="Calibri" w:cs="Arial"/>
                <w:sz w:val="20"/>
                <w:szCs w:val="20"/>
              </w:rPr>
              <w:t xml:space="preserve">. The NICE CPG also makes several recommendations about the surgical decision making process, including; basing referral decisions on discussion rather than priority scoring tools, that there is a substantial impact on patient quality of life and limited response to non-surgical care, that referrals occur before there is longstanding functional limitations and pain, and ensuring that patient-specific factors such as age, sex, smoking, obesity and comorbidities do not act as barriers for surgical referral </w:t>
            </w:r>
            <w:r w:rsidRPr="005038FB">
              <w:rPr>
                <w:rFonts w:ascii="Calibri" w:eastAsia="Calibri" w:hAnsi="Calibri" w:cs="Arial"/>
                <w:noProof/>
                <w:sz w:val="20"/>
                <w:szCs w:val="20"/>
                <w:vertAlign w:val="superscript"/>
              </w:rPr>
              <w:t>45</w:t>
            </w:r>
            <w:r w:rsidRPr="00B161C7">
              <w:rPr>
                <w:rFonts w:ascii="Calibri" w:eastAsia="Calibri" w:hAnsi="Calibri" w:cs="Arial"/>
                <w:sz w:val="20"/>
                <w:szCs w:val="20"/>
              </w:rPr>
              <w:t xml:space="preserve">. The AAOS CPG also provided a weak recommendation for valgus producing proximal tibial osteotomy, and not to use the </w:t>
            </w:r>
            <w:proofErr w:type="spellStart"/>
            <w:r w:rsidRPr="00B161C7">
              <w:rPr>
                <w:rFonts w:ascii="Calibri" w:eastAsia="Calibri" w:hAnsi="Calibri" w:cs="Arial"/>
                <w:sz w:val="20"/>
                <w:szCs w:val="20"/>
              </w:rPr>
              <w:t>freefloating</w:t>
            </w:r>
            <w:proofErr w:type="spellEnd"/>
            <w:r w:rsidRPr="00B161C7">
              <w:rPr>
                <w:rFonts w:ascii="Calibri" w:eastAsia="Calibri" w:hAnsi="Calibri" w:cs="Arial"/>
                <w:sz w:val="20"/>
                <w:szCs w:val="20"/>
              </w:rPr>
              <w:t xml:space="preserve"> (un-fixed) </w:t>
            </w:r>
            <w:proofErr w:type="spellStart"/>
            <w:r w:rsidRPr="00B161C7">
              <w:rPr>
                <w:rFonts w:ascii="Calibri" w:eastAsia="Calibri" w:hAnsi="Calibri" w:cs="Arial"/>
                <w:sz w:val="20"/>
                <w:szCs w:val="20"/>
              </w:rPr>
              <w:t>interpositional</w:t>
            </w:r>
            <w:proofErr w:type="spellEnd"/>
            <w:r w:rsidRPr="00B161C7">
              <w:rPr>
                <w:rFonts w:ascii="Calibri" w:eastAsia="Calibri" w:hAnsi="Calibri" w:cs="Arial"/>
                <w:sz w:val="20"/>
                <w:szCs w:val="20"/>
              </w:rPr>
              <w:t xml:space="preserve"> device in patients with symptomatic medial compartment knee OA (consensus) </w:t>
            </w:r>
            <w:r w:rsidRPr="005038FB">
              <w:rPr>
                <w:rFonts w:ascii="Calibri" w:eastAsia="Calibri" w:hAnsi="Calibri" w:cs="Arial"/>
                <w:noProof/>
                <w:sz w:val="20"/>
                <w:szCs w:val="20"/>
                <w:vertAlign w:val="superscript"/>
              </w:rPr>
              <w:t>39</w:t>
            </w:r>
            <w:r w:rsidRPr="00B161C7">
              <w:rPr>
                <w:rFonts w:ascii="Calibri" w:eastAsia="Calibri" w:hAnsi="Calibri" w:cs="Arial"/>
                <w:sz w:val="20"/>
                <w:szCs w:val="20"/>
              </w:rPr>
              <w:t>.</w:t>
            </w:r>
          </w:p>
          <w:p w:rsidR="00AB3A3C" w:rsidRPr="00B161C7" w:rsidRDefault="00AB3A3C" w:rsidP="00D35636">
            <w:pPr>
              <w:spacing w:after="0" w:line="240" w:lineRule="auto"/>
              <w:rPr>
                <w:rFonts w:ascii="Calibri" w:eastAsia="Calibri" w:hAnsi="Calibri" w:cs="Arial"/>
                <w:sz w:val="20"/>
                <w:szCs w:val="20"/>
              </w:rPr>
            </w:pPr>
          </w:p>
          <w:p w:rsidR="00AB3A3C" w:rsidRPr="00B161C7" w:rsidRDefault="00AB3A3C" w:rsidP="00D35636">
            <w:pPr>
              <w:spacing w:after="0" w:line="240" w:lineRule="auto"/>
              <w:rPr>
                <w:rFonts w:ascii="Calibri" w:eastAsia="Calibri" w:hAnsi="Calibri" w:cs="Arial"/>
                <w:sz w:val="20"/>
                <w:szCs w:val="20"/>
              </w:rPr>
            </w:pPr>
            <w:r w:rsidRPr="00B161C7">
              <w:rPr>
                <w:rFonts w:ascii="Calibri" w:eastAsia="Calibri" w:hAnsi="Calibri" w:cs="Arial"/>
                <w:sz w:val="20"/>
                <w:szCs w:val="20"/>
              </w:rPr>
              <w:t xml:space="preserve">Two LBP CPGs included recommendations regarding surgery. Both NICE </w:t>
            </w:r>
            <w:r w:rsidRPr="005038FB">
              <w:rPr>
                <w:rFonts w:ascii="Calibri" w:eastAsia="Calibri" w:hAnsi="Calibri" w:cs="Arial"/>
                <w:noProof/>
                <w:sz w:val="20"/>
                <w:szCs w:val="20"/>
                <w:vertAlign w:val="superscript"/>
              </w:rPr>
              <w:t>35</w:t>
            </w:r>
            <w:r w:rsidRPr="00B161C7">
              <w:rPr>
                <w:rFonts w:ascii="Calibri" w:eastAsia="Calibri" w:hAnsi="Calibri" w:cs="Arial"/>
                <w:sz w:val="20"/>
                <w:szCs w:val="20"/>
              </w:rPr>
              <w:t xml:space="preserve"> and Belgian </w:t>
            </w:r>
            <w:r w:rsidRPr="005038FB">
              <w:rPr>
                <w:rFonts w:ascii="Calibri" w:eastAsia="Calibri" w:hAnsi="Calibri" w:cs="Arial"/>
                <w:noProof/>
                <w:sz w:val="20"/>
                <w:szCs w:val="20"/>
                <w:vertAlign w:val="superscript"/>
              </w:rPr>
              <w:t>38</w:t>
            </w:r>
            <w:r w:rsidRPr="00B161C7">
              <w:rPr>
                <w:rFonts w:ascii="Calibri" w:eastAsia="Calibri" w:hAnsi="Calibri" w:cs="Arial"/>
                <w:sz w:val="20"/>
                <w:szCs w:val="20"/>
              </w:rPr>
              <w:t xml:space="preserve"> CPGs recommended against disc replacement for LBP. Similarly they recommended that spinal fusion for LBP should only be considered if part of a randomised control trial </w:t>
            </w:r>
            <w:r w:rsidRPr="005038FB">
              <w:rPr>
                <w:rFonts w:ascii="Calibri" w:eastAsia="Calibri" w:hAnsi="Calibri" w:cs="Arial"/>
                <w:noProof/>
                <w:sz w:val="20"/>
                <w:szCs w:val="20"/>
                <w:vertAlign w:val="superscript"/>
              </w:rPr>
              <w:t>35</w:t>
            </w:r>
            <w:r w:rsidRPr="00B161C7">
              <w:rPr>
                <w:rFonts w:ascii="Calibri" w:eastAsia="Calibri" w:hAnsi="Calibri" w:cs="Arial"/>
                <w:sz w:val="20"/>
                <w:szCs w:val="20"/>
              </w:rPr>
              <w:t xml:space="preserve">, or, if multimodal conservative care has not changed the outcome, following evaluation in a multidisciplinary consultation, and preferably registered in a data registry </w:t>
            </w:r>
            <w:r w:rsidRPr="005038FB">
              <w:rPr>
                <w:rFonts w:ascii="Calibri" w:eastAsia="Calibri" w:hAnsi="Calibri" w:cs="Arial"/>
                <w:noProof/>
                <w:sz w:val="20"/>
                <w:szCs w:val="20"/>
                <w:vertAlign w:val="superscript"/>
              </w:rPr>
              <w:t>38</w:t>
            </w:r>
            <w:r w:rsidRPr="00B161C7">
              <w:rPr>
                <w:rFonts w:ascii="Calibri" w:eastAsia="Calibri" w:hAnsi="Calibri" w:cs="Arial"/>
                <w:sz w:val="20"/>
                <w:szCs w:val="20"/>
              </w:rPr>
              <w:t xml:space="preserve">. Both CPGs weakly recommended spinal decompression for sciatica if conservative care has been unsuccessful and radiological and clinical findings are concordant. Lastly, the NICE CPG recommended not allowing a person’s BMI, smoking status or psychological distress to influence surgical referral decisions </w:t>
            </w:r>
            <w:r w:rsidRPr="005038FB">
              <w:rPr>
                <w:rFonts w:ascii="Calibri" w:eastAsia="Calibri" w:hAnsi="Calibri" w:cs="Arial"/>
                <w:noProof/>
                <w:sz w:val="20"/>
                <w:szCs w:val="20"/>
                <w:vertAlign w:val="superscript"/>
              </w:rPr>
              <w:t>35</w:t>
            </w:r>
            <w:r w:rsidRPr="00B161C7">
              <w:rPr>
                <w:rFonts w:ascii="Calibri" w:eastAsia="Calibri" w:hAnsi="Calibri" w:cs="Arial"/>
                <w:sz w:val="20"/>
                <w:szCs w:val="20"/>
              </w:rPr>
              <w:t xml:space="preserve">.  </w:t>
            </w:r>
          </w:p>
          <w:p w:rsidR="00AB3A3C" w:rsidRPr="00B161C7" w:rsidRDefault="00AB3A3C" w:rsidP="00D35636">
            <w:pPr>
              <w:spacing w:after="0" w:line="240" w:lineRule="auto"/>
              <w:rPr>
                <w:rFonts w:ascii="Calibri" w:eastAsia="Calibri" w:hAnsi="Calibri" w:cs="Arial"/>
                <w:sz w:val="20"/>
                <w:szCs w:val="20"/>
              </w:rPr>
            </w:pPr>
          </w:p>
          <w:p w:rsidR="00AB3A3C" w:rsidRPr="00B161C7" w:rsidRDefault="00AB3A3C" w:rsidP="00D35636">
            <w:pPr>
              <w:spacing w:after="0" w:line="240" w:lineRule="auto"/>
              <w:rPr>
                <w:rFonts w:ascii="Calibri" w:eastAsia="Calibri" w:hAnsi="Calibri" w:cs="Arial"/>
                <w:sz w:val="20"/>
                <w:szCs w:val="20"/>
              </w:rPr>
            </w:pPr>
            <w:r w:rsidRPr="00B161C7">
              <w:rPr>
                <w:rFonts w:ascii="Calibri" w:eastAsia="Calibri" w:hAnsi="Calibri" w:cs="Arial"/>
                <w:sz w:val="20"/>
                <w:szCs w:val="20"/>
              </w:rPr>
              <w:t xml:space="preserve">The CPG for rotator cuff disorders recommended seeking surgical review if three months of conservative care has been unsuccessful and/or following a period of conservative care there is a symptomatic full thickness rotator cuff tear on </w:t>
            </w:r>
            <w:proofErr w:type="gramStart"/>
            <w:r w:rsidRPr="00B161C7">
              <w:rPr>
                <w:rFonts w:ascii="Calibri" w:eastAsia="Calibri" w:hAnsi="Calibri" w:cs="Arial"/>
                <w:sz w:val="20"/>
                <w:szCs w:val="20"/>
              </w:rPr>
              <w:t xml:space="preserve">review  </w:t>
            </w:r>
            <w:r w:rsidRPr="005038FB">
              <w:rPr>
                <w:rFonts w:ascii="Calibri" w:eastAsia="Calibri" w:hAnsi="Calibri" w:cs="Arial"/>
                <w:noProof/>
                <w:sz w:val="20"/>
                <w:szCs w:val="20"/>
                <w:vertAlign w:val="superscript"/>
              </w:rPr>
              <w:t>41</w:t>
            </w:r>
            <w:proofErr w:type="gramEnd"/>
            <w:r w:rsidRPr="00B161C7">
              <w:rPr>
                <w:rFonts w:ascii="Calibri" w:eastAsia="Calibri" w:hAnsi="Calibri" w:cs="Arial"/>
                <w:sz w:val="20"/>
                <w:szCs w:val="20"/>
              </w:rPr>
              <w:t xml:space="preserve">. Further, clinicians should be </w:t>
            </w:r>
            <w:r w:rsidRPr="00B161C7">
              <w:rPr>
                <w:rFonts w:ascii="Calibri" w:eastAsia="Calibri" w:hAnsi="Calibri" w:cs="Arial"/>
                <w:sz w:val="20"/>
                <w:szCs w:val="20"/>
              </w:rPr>
              <w:lastRenderedPageBreak/>
              <w:t xml:space="preserve">aware of factors that influence post-rotator cuff surgery recovery such as age, rotator cuff atrophy and fat degeneration on MRI, body mass index, compensation status, psychosocial factors and duration of complaints </w:t>
            </w:r>
            <w:r w:rsidRPr="005038FB">
              <w:rPr>
                <w:rFonts w:ascii="Calibri" w:eastAsia="Calibri" w:hAnsi="Calibri" w:cs="Arial"/>
                <w:noProof/>
                <w:sz w:val="20"/>
                <w:szCs w:val="20"/>
                <w:vertAlign w:val="superscript"/>
              </w:rPr>
              <w:t>41</w:t>
            </w:r>
            <w:r w:rsidRPr="00B161C7">
              <w:rPr>
                <w:rFonts w:ascii="Calibri" w:eastAsia="Calibri" w:hAnsi="Calibri" w:cs="Arial"/>
                <w:sz w:val="20"/>
                <w:szCs w:val="20"/>
              </w:rPr>
              <w:t>.</w:t>
            </w:r>
          </w:p>
          <w:p w:rsidR="00AB3A3C" w:rsidRPr="00B161C7" w:rsidRDefault="00AB3A3C" w:rsidP="00D35636">
            <w:pPr>
              <w:spacing w:after="0" w:line="240" w:lineRule="auto"/>
              <w:rPr>
                <w:rFonts w:ascii="Calibri" w:eastAsia="Calibri" w:hAnsi="Calibri" w:cs="Arial"/>
                <w:sz w:val="20"/>
                <w:szCs w:val="20"/>
              </w:rPr>
            </w:pPr>
          </w:p>
          <w:p w:rsidR="00AB3A3C" w:rsidRPr="00B161C7" w:rsidRDefault="00AB3A3C" w:rsidP="00D35636">
            <w:pPr>
              <w:spacing w:after="0" w:line="240" w:lineRule="auto"/>
              <w:contextualSpacing/>
              <w:rPr>
                <w:rFonts w:ascii="Calibri" w:eastAsia="Calibri" w:hAnsi="Calibri" w:cs="Arial"/>
                <w:sz w:val="20"/>
                <w:szCs w:val="20"/>
                <w:highlight w:val="yellow"/>
              </w:rPr>
            </w:pPr>
            <w:r w:rsidRPr="00B161C7">
              <w:rPr>
                <w:rFonts w:ascii="Calibri" w:eastAsia="Calibri" w:hAnsi="Calibri" w:cs="Arial"/>
                <w:sz w:val="20"/>
                <w:szCs w:val="20"/>
                <w:highlight w:val="yellow"/>
              </w:rPr>
              <w:t xml:space="preserve">Consensus across MSK pain conditions: </w:t>
            </w:r>
          </w:p>
          <w:p w:rsidR="00AB3A3C" w:rsidRPr="00B161C7" w:rsidRDefault="00AB3A3C" w:rsidP="00AB3A3C">
            <w:pPr>
              <w:numPr>
                <w:ilvl w:val="0"/>
                <w:numId w:val="6"/>
              </w:numPr>
              <w:spacing w:after="0" w:line="240" w:lineRule="auto"/>
              <w:contextualSpacing/>
              <w:rPr>
                <w:rFonts w:ascii="Calibri" w:eastAsia="Calibri" w:hAnsi="Calibri" w:cs="Times New Roman"/>
                <w:sz w:val="20"/>
                <w:szCs w:val="20"/>
                <w:highlight w:val="yellow"/>
              </w:rPr>
            </w:pPr>
            <w:r w:rsidRPr="00B161C7">
              <w:rPr>
                <w:rFonts w:ascii="Calibri" w:eastAsia="Calibri" w:hAnsi="Calibri" w:cs="Times New Roman"/>
                <w:sz w:val="20"/>
                <w:szCs w:val="20"/>
                <w:highlight w:val="yellow"/>
              </w:rPr>
              <w:t>Unless specifically indicated (e.g. red flag condition), offer evidence-informed non-surgical care prior to surgery.</w:t>
            </w:r>
          </w:p>
          <w:p w:rsidR="00AB3A3C" w:rsidRPr="00B161C7" w:rsidRDefault="00AB3A3C" w:rsidP="00D35636">
            <w:pPr>
              <w:spacing w:after="0" w:line="240" w:lineRule="auto"/>
              <w:rPr>
                <w:rFonts w:ascii="Calibri" w:eastAsia="Calibri" w:hAnsi="Calibri" w:cs="Arial"/>
                <w:sz w:val="20"/>
                <w:szCs w:val="20"/>
                <w:highlight w:val="yellow"/>
              </w:rPr>
            </w:pPr>
          </w:p>
          <w:p w:rsidR="00AB3A3C" w:rsidRPr="00B161C7" w:rsidRDefault="00AB3A3C" w:rsidP="00D35636">
            <w:pPr>
              <w:spacing w:after="0" w:line="240" w:lineRule="auto"/>
              <w:rPr>
                <w:rFonts w:ascii="Calibri" w:eastAsia="Calibri" w:hAnsi="Calibri" w:cs="Arial"/>
                <w:sz w:val="20"/>
                <w:szCs w:val="20"/>
                <w:highlight w:val="green"/>
              </w:rPr>
            </w:pPr>
            <w:r w:rsidRPr="00B161C7">
              <w:rPr>
                <w:rFonts w:ascii="Calibri" w:eastAsia="Calibri" w:hAnsi="Calibri" w:cs="Arial"/>
                <w:sz w:val="20"/>
                <w:szCs w:val="20"/>
                <w:highlight w:val="green"/>
              </w:rPr>
              <w:t xml:space="preserve">Consensus for one MSK pain condition: </w:t>
            </w:r>
          </w:p>
          <w:p w:rsidR="00AB3A3C" w:rsidRPr="00B161C7" w:rsidRDefault="00AB3A3C" w:rsidP="00D35636">
            <w:pPr>
              <w:spacing w:after="0" w:line="240" w:lineRule="auto"/>
              <w:rPr>
                <w:rFonts w:ascii="Calibri" w:eastAsia="Calibri" w:hAnsi="Calibri" w:cs="Arial"/>
                <w:sz w:val="20"/>
                <w:szCs w:val="20"/>
                <w:highlight w:val="green"/>
              </w:rPr>
            </w:pPr>
            <w:r w:rsidRPr="00B161C7">
              <w:rPr>
                <w:rFonts w:ascii="Calibri" w:eastAsia="Calibri" w:hAnsi="Calibri" w:cs="Arial"/>
                <w:sz w:val="20"/>
                <w:szCs w:val="20"/>
                <w:highlight w:val="green"/>
              </w:rPr>
              <w:t>OA:</w:t>
            </w:r>
          </w:p>
          <w:p w:rsidR="00AB3A3C" w:rsidRPr="00B161C7" w:rsidRDefault="00AB3A3C" w:rsidP="00AB3A3C">
            <w:pPr>
              <w:numPr>
                <w:ilvl w:val="0"/>
                <w:numId w:val="2"/>
              </w:numPr>
              <w:spacing w:after="0" w:line="240" w:lineRule="auto"/>
              <w:contextualSpacing/>
              <w:rPr>
                <w:rFonts w:ascii="Calibri" w:eastAsia="Calibri" w:hAnsi="Calibri" w:cs="Arial"/>
                <w:sz w:val="20"/>
                <w:szCs w:val="20"/>
                <w:highlight w:val="green"/>
              </w:rPr>
            </w:pPr>
            <w:r w:rsidRPr="00B161C7">
              <w:rPr>
                <w:rFonts w:ascii="Calibri" w:eastAsia="Calibri" w:hAnsi="Calibri" w:cs="Arial"/>
                <w:sz w:val="20"/>
                <w:szCs w:val="20"/>
                <w:highlight w:val="green"/>
              </w:rPr>
              <w:t xml:space="preserve">Knee arthroscopic lavage and debridement for knee OA should not be used unless there is a rationale (such as mechanical knee locking). </w:t>
            </w:r>
          </w:p>
          <w:p w:rsidR="00AB3A3C" w:rsidRPr="00B161C7" w:rsidRDefault="00AB3A3C" w:rsidP="00D35636">
            <w:pPr>
              <w:spacing w:after="0" w:line="240" w:lineRule="auto"/>
              <w:rPr>
                <w:rFonts w:ascii="Calibri" w:eastAsia="Calibri" w:hAnsi="Calibri" w:cs="Arial"/>
                <w:sz w:val="20"/>
                <w:szCs w:val="20"/>
                <w:highlight w:val="green"/>
              </w:rPr>
            </w:pPr>
            <w:r w:rsidRPr="00B161C7">
              <w:rPr>
                <w:rFonts w:ascii="Calibri" w:eastAsia="Calibri" w:hAnsi="Calibri" w:cs="Arial"/>
                <w:sz w:val="20"/>
                <w:szCs w:val="20"/>
                <w:highlight w:val="green"/>
              </w:rPr>
              <w:t>LBP:</w:t>
            </w:r>
          </w:p>
          <w:p w:rsidR="00AB3A3C" w:rsidRPr="00B161C7" w:rsidRDefault="00AB3A3C" w:rsidP="00AB3A3C">
            <w:pPr>
              <w:numPr>
                <w:ilvl w:val="0"/>
                <w:numId w:val="2"/>
              </w:numPr>
              <w:spacing w:after="0" w:line="240" w:lineRule="auto"/>
              <w:contextualSpacing/>
              <w:rPr>
                <w:rFonts w:ascii="Calibri" w:eastAsia="Calibri" w:hAnsi="Calibri" w:cs="Arial"/>
                <w:sz w:val="20"/>
                <w:szCs w:val="20"/>
                <w:highlight w:val="green"/>
              </w:rPr>
            </w:pPr>
            <w:r w:rsidRPr="00B161C7">
              <w:rPr>
                <w:rFonts w:ascii="Calibri" w:eastAsia="Calibri" w:hAnsi="Calibri" w:cs="Arial"/>
                <w:sz w:val="20"/>
                <w:szCs w:val="20"/>
                <w:highlight w:val="green"/>
              </w:rPr>
              <w:t xml:space="preserve">Disc replacement for LBP should not be offered. </w:t>
            </w:r>
          </w:p>
          <w:p w:rsidR="00AB3A3C" w:rsidRPr="00B161C7" w:rsidRDefault="00AB3A3C" w:rsidP="00AB3A3C">
            <w:pPr>
              <w:numPr>
                <w:ilvl w:val="0"/>
                <w:numId w:val="2"/>
              </w:numPr>
              <w:spacing w:after="0" w:line="240" w:lineRule="auto"/>
              <w:contextualSpacing/>
              <w:rPr>
                <w:rFonts w:ascii="Calibri" w:eastAsia="Calibri" w:hAnsi="Calibri" w:cs="Arial"/>
                <w:sz w:val="20"/>
                <w:szCs w:val="20"/>
                <w:highlight w:val="green"/>
              </w:rPr>
            </w:pPr>
            <w:r w:rsidRPr="00B161C7">
              <w:rPr>
                <w:rFonts w:ascii="Calibri" w:eastAsia="Calibri" w:hAnsi="Calibri" w:cs="Arial"/>
                <w:sz w:val="20"/>
                <w:szCs w:val="20"/>
                <w:highlight w:val="green"/>
              </w:rPr>
              <w:t>Spinal fusion should only be considered if part of a randomised controlled trial.</w:t>
            </w:r>
          </w:p>
          <w:p w:rsidR="00AB3A3C" w:rsidRPr="00B161C7" w:rsidRDefault="00AB3A3C" w:rsidP="00D35636">
            <w:pPr>
              <w:spacing w:after="0" w:line="240" w:lineRule="auto"/>
              <w:rPr>
                <w:rFonts w:ascii="Calibri" w:eastAsia="Calibri" w:hAnsi="Calibri" w:cs="Arial"/>
                <w:sz w:val="20"/>
                <w:szCs w:val="20"/>
              </w:rPr>
            </w:pPr>
          </w:p>
          <w:p w:rsidR="00AB3A3C" w:rsidRPr="00B161C7" w:rsidRDefault="00AB3A3C" w:rsidP="00D35636">
            <w:pPr>
              <w:spacing w:after="0" w:line="240" w:lineRule="auto"/>
              <w:rPr>
                <w:rFonts w:ascii="Calibri" w:eastAsia="Calibri" w:hAnsi="Calibri" w:cs="Arial"/>
                <w:sz w:val="20"/>
                <w:szCs w:val="20"/>
                <w:u w:val="single"/>
              </w:rPr>
            </w:pPr>
            <w:r w:rsidRPr="00B161C7">
              <w:rPr>
                <w:rFonts w:ascii="Calibri" w:eastAsia="Calibri" w:hAnsi="Calibri" w:cs="Arial"/>
                <w:sz w:val="20"/>
                <w:szCs w:val="20"/>
                <w:u w:val="single"/>
              </w:rPr>
              <w:t xml:space="preserve">Injections </w:t>
            </w:r>
          </w:p>
          <w:p w:rsidR="00AB3A3C" w:rsidRPr="00B161C7" w:rsidRDefault="00AB3A3C" w:rsidP="00D35636">
            <w:pPr>
              <w:spacing w:after="0" w:line="240" w:lineRule="auto"/>
              <w:rPr>
                <w:rFonts w:ascii="Calibri" w:eastAsia="Calibri" w:hAnsi="Calibri" w:cs="Arial"/>
                <w:sz w:val="20"/>
                <w:szCs w:val="20"/>
              </w:rPr>
            </w:pPr>
            <w:r w:rsidRPr="00B161C7">
              <w:rPr>
                <w:rFonts w:ascii="Calibri" w:eastAsia="Calibri" w:hAnsi="Calibri" w:cs="Arial"/>
                <w:sz w:val="20"/>
                <w:szCs w:val="20"/>
              </w:rPr>
              <w:t xml:space="preserve">For OA, two CPGs recommended considering intra-articular corticosteroid injection for knee OA </w:t>
            </w:r>
            <w:r w:rsidRPr="005038FB">
              <w:rPr>
                <w:rFonts w:ascii="Calibri" w:eastAsia="Calibri" w:hAnsi="Calibri" w:cs="Arial"/>
                <w:noProof/>
                <w:sz w:val="20"/>
                <w:szCs w:val="20"/>
                <w:vertAlign w:val="superscript"/>
              </w:rPr>
              <w:t>42 45</w:t>
            </w:r>
            <w:r w:rsidRPr="00B161C7">
              <w:rPr>
                <w:rFonts w:ascii="Calibri" w:eastAsia="Calibri" w:hAnsi="Calibri" w:cs="Arial"/>
                <w:sz w:val="20"/>
                <w:szCs w:val="20"/>
              </w:rPr>
              <w:t xml:space="preserve"> whilst one CPG was uncertain </w:t>
            </w:r>
            <w:r w:rsidRPr="005038FB">
              <w:rPr>
                <w:rFonts w:ascii="Calibri" w:eastAsia="Calibri" w:hAnsi="Calibri" w:cs="Arial"/>
                <w:noProof/>
                <w:sz w:val="20"/>
                <w:szCs w:val="20"/>
                <w:vertAlign w:val="superscript"/>
              </w:rPr>
              <w:t>39</w:t>
            </w:r>
            <w:r w:rsidRPr="00B161C7">
              <w:rPr>
                <w:rFonts w:ascii="Calibri" w:eastAsia="Calibri" w:hAnsi="Calibri" w:cs="Arial"/>
                <w:sz w:val="20"/>
                <w:szCs w:val="20"/>
              </w:rPr>
              <w:t xml:space="preserve">. Two CPGs recommended against intra-articular injection of hyaluronic acid </w:t>
            </w:r>
            <w:r w:rsidRPr="005038FB">
              <w:rPr>
                <w:rFonts w:ascii="Calibri" w:eastAsia="Calibri" w:hAnsi="Calibri" w:cs="Arial"/>
                <w:noProof/>
                <w:sz w:val="20"/>
                <w:szCs w:val="20"/>
                <w:vertAlign w:val="superscript"/>
              </w:rPr>
              <w:t>39 45</w:t>
            </w:r>
            <w:r w:rsidRPr="00B161C7">
              <w:rPr>
                <w:rFonts w:ascii="Calibri" w:eastAsia="Calibri" w:hAnsi="Calibri" w:cs="Arial"/>
                <w:sz w:val="20"/>
                <w:szCs w:val="20"/>
              </w:rPr>
              <w:t xml:space="preserve"> and one was uncertain for single joint knee OA (not recommended for multiple joint OA) </w:t>
            </w:r>
            <w:r w:rsidRPr="005038FB">
              <w:rPr>
                <w:rFonts w:ascii="Calibri" w:eastAsia="Calibri" w:hAnsi="Calibri" w:cs="Arial"/>
                <w:noProof/>
                <w:sz w:val="20"/>
                <w:szCs w:val="20"/>
                <w:vertAlign w:val="superscript"/>
              </w:rPr>
              <w:t>42</w:t>
            </w:r>
            <w:r w:rsidRPr="00B161C7">
              <w:rPr>
                <w:rFonts w:ascii="Calibri" w:eastAsia="Calibri" w:hAnsi="Calibri" w:cs="Arial"/>
                <w:sz w:val="20"/>
                <w:szCs w:val="20"/>
              </w:rPr>
              <w:t>.</w:t>
            </w:r>
          </w:p>
          <w:p w:rsidR="00AB3A3C" w:rsidRPr="00B161C7" w:rsidRDefault="00AB3A3C" w:rsidP="00D35636">
            <w:pPr>
              <w:spacing w:after="0" w:line="240" w:lineRule="auto"/>
              <w:rPr>
                <w:rFonts w:ascii="Calibri" w:eastAsia="Calibri" w:hAnsi="Calibri" w:cs="Arial"/>
                <w:sz w:val="20"/>
                <w:szCs w:val="20"/>
              </w:rPr>
            </w:pPr>
          </w:p>
          <w:p w:rsidR="00AB3A3C" w:rsidRPr="00B161C7" w:rsidRDefault="00AB3A3C" w:rsidP="00D35636">
            <w:pPr>
              <w:spacing w:after="0" w:line="240" w:lineRule="auto"/>
              <w:rPr>
                <w:rFonts w:ascii="Calibri" w:eastAsia="Calibri" w:hAnsi="Calibri" w:cs="Arial"/>
                <w:sz w:val="20"/>
                <w:szCs w:val="20"/>
              </w:rPr>
            </w:pPr>
            <w:r w:rsidRPr="00B161C7">
              <w:rPr>
                <w:rFonts w:ascii="Calibri" w:eastAsia="Calibri" w:hAnsi="Calibri" w:cs="Arial"/>
                <w:sz w:val="20"/>
                <w:szCs w:val="20"/>
              </w:rPr>
              <w:t xml:space="preserve">For LBP, two CPGs strongly recommended against spinal injections for LBP; including facet joint injections, medical branch blocks, </w:t>
            </w:r>
            <w:proofErr w:type="spellStart"/>
            <w:r w:rsidRPr="00B161C7">
              <w:rPr>
                <w:rFonts w:ascii="Calibri" w:eastAsia="Calibri" w:hAnsi="Calibri" w:cs="Arial"/>
                <w:sz w:val="20"/>
                <w:szCs w:val="20"/>
              </w:rPr>
              <w:t>intradiscal</w:t>
            </w:r>
            <w:proofErr w:type="spellEnd"/>
            <w:r w:rsidRPr="00B161C7">
              <w:rPr>
                <w:rFonts w:ascii="Calibri" w:eastAsia="Calibri" w:hAnsi="Calibri" w:cs="Arial"/>
                <w:sz w:val="20"/>
                <w:szCs w:val="20"/>
              </w:rPr>
              <w:t xml:space="preserve"> injections, </w:t>
            </w:r>
            <w:proofErr w:type="spellStart"/>
            <w:r w:rsidRPr="00B161C7">
              <w:rPr>
                <w:rFonts w:ascii="Calibri" w:eastAsia="Calibri" w:hAnsi="Calibri" w:cs="Arial"/>
                <w:sz w:val="20"/>
                <w:szCs w:val="20"/>
              </w:rPr>
              <w:t>prolotherapy</w:t>
            </w:r>
            <w:proofErr w:type="spellEnd"/>
            <w:r w:rsidRPr="00B161C7">
              <w:rPr>
                <w:rFonts w:ascii="Calibri" w:eastAsia="Calibri" w:hAnsi="Calibri" w:cs="Arial"/>
                <w:sz w:val="20"/>
                <w:szCs w:val="20"/>
              </w:rPr>
              <w:t xml:space="preserve"> and trigger point injections </w:t>
            </w:r>
            <w:r w:rsidRPr="005038FB">
              <w:rPr>
                <w:rFonts w:ascii="Calibri" w:eastAsia="Calibri" w:hAnsi="Calibri" w:cs="Arial"/>
                <w:noProof/>
                <w:sz w:val="20"/>
                <w:szCs w:val="20"/>
                <w:vertAlign w:val="superscript"/>
              </w:rPr>
              <w:t>35 38</w:t>
            </w:r>
            <w:r w:rsidRPr="00B161C7">
              <w:rPr>
                <w:rFonts w:ascii="Calibri" w:eastAsia="Calibri" w:hAnsi="Calibri" w:cs="Arial"/>
                <w:sz w:val="20"/>
                <w:szCs w:val="20"/>
              </w:rPr>
              <w:t xml:space="preserve">. The same CPGs offered a weak a recommendation for epidural injection of local anaesthetic and steroid for acute, severe radicular pain, whereas the Danish CPG provided a weak recommendation against this procedure </w:t>
            </w:r>
            <w:r w:rsidRPr="005038FB">
              <w:rPr>
                <w:rFonts w:ascii="Calibri" w:eastAsia="Calibri" w:hAnsi="Calibri" w:cs="Arial"/>
                <w:noProof/>
                <w:sz w:val="20"/>
                <w:szCs w:val="20"/>
                <w:vertAlign w:val="superscript"/>
              </w:rPr>
              <w:t>40</w:t>
            </w:r>
            <w:r w:rsidRPr="00B161C7">
              <w:rPr>
                <w:rFonts w:ascii="Calibri" w:eastAsia="Calibri" w:hAnsi="Calibri" w:cs="Arial"/>
                <w:sz w:val="20"/>
                <w:szCs w:val="20"/>
              </w:rPr>
              <w:t xml:space="preserve">. Two CPGs provided a weak recommendation for radiofrequency denervation for persistent LBP for moderate to severe pain, when there is a positive response to medial branch block, and a lack of improvement following conservative care </w:t>
            </w:r>
            <w:r w:rsidRPr="005038FB">
              <w:rPr>
                <w:rFonts w:ascii="Calibri" w:eastAsia="Calibri" w:hAnsi="Calibri" w:cs="Arial"/>
                <w:noProof/>
                <w:sz w:val="20"/>
                <w:szCs w:val="20"/>
                <w:vertAlign w:val="superscript"/>
              </w:rPr>
              <w:t>35 38</w:t>
            </w:r>
            <w:r w:rsidRPr="00B161C7">
              <w:rPr>
                <w:rFonts w:ascii="Calibri" w:eastAsia="Calibri" w:hAnsi="Calibri" w:cs="Arial"/>
                <w:sz w:val="20"/>
                <w:szCs w:val="20"/>
              </w:rPr>
              <w:t xml:space="preserve">. The NICE CPG recommended against epidural injections for neurogenic claudication in people who have central spinal canal stenosis </w:t>
            </w:r>
            <w:r w:rsidRPr="005038FB">
              <w:rPr>
                <w:rFonts w:ascii="Calibri" w:eastAsia="Calibri" w:hAnsi="Calibri" w:cs="Arial"/>
                <w:noProof/>
                <w:sz w:val="20"/>
                <w:szCs w:val="20"/>
                <w:vertAlign w:val="superscript"/>
              </w:rPr>
              <w:t>35</w:t>
            </w:r>
            <w:r w:rsidRPr="00B161C7">
              <w:rPr>
                <w:rFonts w:ascii="Calibri" w:eastAsia="Calibri" w:hAnsi="Calibri" w:cs="Arial"/>
                <w:sz w:val="20"/>
                <w:szCs w:val="20"/>
              </w:rPr>
              <w:t xml:space="preserve">. </w:t>
            </w:r>
          </w:p>
          <w:p w:rsidR="00AB3A3C" w:rsidRPr="00B161C7" w:rsidRDefault="00AB3A3C" w:rsidP="00D35636">
            <w:pPr>
              <w:spacing w:after="0" w:line="240" w:lineRule="auto"/>
              <w:rPr>
                <w:rFonts w:ascii="Calibri" w:eastAsia="Calibri" w:hAnsi="Calibri" w:cs="Arial"/>
                <w:sz w:val="20"/>
                <w:szCs w:val="20"/>
              </w:rPr>
            </w:pPr>
          </w:p>
          <w:p w:rsidR="00AB3A3C" w:rsidRPr="00B161C7" w:rsidRDefault="00AB3A3C" w:rsidP="00D35636">
            <w:pPr>
              <w:spacing w:after="0" w:line="240" w:lineRule="auto"/>
              <w:rPr>
                <w:rFonts w:ascii="Calibri" w:eastAsia="Calibri" w:hAnsi="Calibri" w:cs="Arial"/>
                <w:sz w:val="20"/>
                <w:szCs w:val="20"/>
              </w:rPr>
            </w:pPr>
            <w:r w:rsidRPr="00B161C7">
              <w:rPr>
                <w:rFonts w:ascii="Calibri" w:eastAsia="Calibri" w:hAnsi="Calibri" w:cs="Arial"/>
                <w:sz w:val="20"/>
                <w:szCs w:val="20"/>
              </w:rPr>
              <w:t xml:space="preserve">One neck pain CPG recommended against botulinum toxin injections </w:t>
            </w:r>
            <w:r w:rsidRPr="005038FB">
              <w:rPr>
                <w:rFonts w:ascii="Calibri" w:eastAsia="Calibri" w:hAnsi="Calibri" w:cs="Arial"/>
                <w:noProof/>
                <w:sz w:val="20"/>
                <w:szCs w:val="20"/>
                <w:vertAlign w:val="superscript"/>
              </w:rPr>
              <w:t>34</w:t>
            </w:r>
            <w:r w:rsidRPr="00B161C7">
              <w:rPr>
                <w:rFonts w:ascii="Calibri" w:eastAsia="Calibri" w:hAnsi="Calibri" w:cs="Arial"/>
                <w:sz w:val="20"/>
                <w:szCs w:val="20"/>
              </w:rPr>
              <w:t xml:space="preserve">.  For rotator cuff disorders one CPG recommended consideration of </w:t>
            </w:r>
            <w:proofErr w:type="spellStart"/>
            <w:r w:rsidRPr="00B161C7">
              <w:rPr>
                <w:rFonts w:ascii="Calibri" w:eastAsia="Calibri" w:hAnsi="Calibri" w:cs="Arial"/>
                <w:sz w:val="20"/>
                <w:szCs w:val="20"/>
              </w:rPr>
              <w:t>subacromial</w:t>
            </w:r>
            <w:proofErr w:type="spellEnd"/>
            <w:r w:rsidRPr="00B161C7">
              <w:rPr>
                <w:rFonts w:ascii="Calibri" w:eastAsia="Calibri" w:hAnsi="Calibri" w:cs="Arial"/>
                <w:sz w:val="20"/>
                <w:szCs w:val="20"/>
              </w:rPr>
              <w:t xml:space="preserve"> corticosteroid injection with local anaesthetic, administered by suitably skilled clinicians, after the risks and benefits have been explained, with no more than two administered if there is no clinical improvement </w:t>
            </w:r>
            <w:r w:rsidRPr="005038FB">
              <w:rPr>
                <w:rFonts w:ascii="Calibri" w:eastAsia="Calibri" w:hAnsi="Calibri" w:cs="Arial"/>
                <w:noProof/>
                <w:sz w:val="20"/>
                <w:szCs w:val="20"/>
                <w:vertAlign w:val="superscript"/>
              </w:rPr>
              <w:t>41</w:t>
            </w:r>
            <w:r w:rsidRPr="00B161C7">
              <w:rPr>
                <w:rFonts w:ascii="Calibri" w:eastAsia="Calibri" w:hAnsi="Calibri" w:cs="Arial"/>
                <w:sz w:val="20"/>
                <w:szCs w:val="20"/>
              </w:rPr>
              <w:t xml:space="preserve">. </w:t>
            </w:r>
          </w:p>
          <w:p w:rsidR="00AB3A3C" w:rsidRPr="00B161C7" w:rsidRDefault="00AB3A3C" w:rsidP="00D35636">
            <w:pPr>
              <w:spacing w:after="0" w:line="240" w:lineRule="auto"/>
              <w:rPr>
                <w:rFonts w:ascii="Calibri" w:eastAsia="Calibri" w:hAnsi="Calibri" w:cs="Arial"/>
                <w:sz w:val="20"/>
                <w:szCs w:val="20"/>
              </w:rPr>
            </w:pPr>
          </w:p>
          <w:p w:rsidR="00AB3A3C" w:rsidRPr="00B161C7" w:rsidRDefault="00AB3A3C" w:rsidP="00D35636">
            <w:pPr>
              <w:spacing w:after="0" w:line="240" w:lineRule="auto"/>
              <w:rPr>
                <w:rFonts w:ascii="Calibri" w:eastAsia="Calibri" w:hAnsi="Calibri" w:cs="Arial"/>
                <w:sz w:val="20"/>
                <w:szCs w:val="20"/>
                <w:highlight w:val="green"/>
              </w:rPr>
            </w:pPr>
            <w:r w:rsidRPr="00B161C7">
              <w:rPr>
                <w:rFonts w:ascii="Calibri" w:eastAsia="Calibri" w:hAnsi="Calibri" w:cs="Arial"/>
                <w:sz w:val="20"/>
                <w:szCs w:val="20"/>
                <w:highlight w:val="green"/>
              </w:rPr>
              <w:t xml:space="preserve">Consensus for one MSK pain condition: </w:t>
            </w:r>
          </w:p>
          <w:p w:rsidR="00AB3A3C" w:rsidRPr="00B161C7" w:rsidRDefault="00AB3A3C" w:rsidP="00AB3A3C">
            <w:pPr>
              <w:numPr>
                <w:ilvl w:val="0"/>
                <w:numId w:val="7"/>
              </w:numPr>
              <w:spacing w:after="0" w:line="240" w:lineRule="auto"/>
              <w:contextualSpacing/>
              <w:rPr>
                <w:rFonts w:ascii="Calibri" w:eastAsia="Calibri" w:hAnsi="Calibri" w:cs="Arial"/>
                <w:sz w:val="20"/>
                <w:szCs w:val="20"/>
              </w:rPr>
            </w:pPr>
            <w:r w:rsidRPr="00B161C7">
              <w:rPr>
                <w:rFonts w:ascii="Calibri" w:eastAsia="Calibri" w:hAnsi="Calibri" w:cs="Arial"/>
                <w:sz w:val="20"/>
                <w:szCs w:val="20"/>
                <w:highlight w:val="green"/>
              </w:rPr>
              <w:t>Spinal injections should not be used for LBP.</w:t>
            </w:r>
          </w:p>
          <w:p w:rsidR="00AB3A3C" w:rsidRPr="00B161C7" w:rsidRDefault="00AB3A3C" w:rsidP="00D35636">
            <w:pPr>
              <w:spacing w:after="0" w:line="240" w:lineRule="auto"/>
              <w:rPr>
                <w:rFonts w:ascii="Calibri" w:eastAsia="Calibri" w:hAnsi="Calibri" w:cs="Arial"/>
                <w:sz w:val="20"/>
                <w:szCs w:val="20"/>
              </w:rPr>
            </w:pPr>
          </w:p>
        </w:tc>
      </w:tr>
      <w:tr w:rsidR="00AB3A3C" w:rsidRPr="00B161C7" w:rsidTr="00D35636">
        <w:tc>
          <w:tcPr>
            <w:tcW w:w="811" w:type="pct"/>
          </w:tcPr>
          <w:p w:rsidR="00AB3A3C" w:rsidRPr="00B161C7" w:rsidRDefault="00AB3A3C" w:rsidP="00D35636">
            <w:pPr>
              <w:spacing w:after="0" w:line="240" w:lineRule="auto"/>
              <w:rPr>
                <w:rFonts w:ascii="Calibri" w:eastAsia="Calibri" w:hAnsi="Calibri" w:cs="Arial"/>
                <w:sz w:val="20"/>
                <w:szCs w:val="20"/>
              </w:rPr>
            </w:pPr>
            <w:r w:rsidRPr="00B161C7">
              <w:rPr>
                <w:rFonts w:ascii="Calibri" w:eastAsia="Calibri" w:hAnsi="Calibri" w:cs="Arial"/>
                <w:sz w:val="20"/>
                <w:szCs w:val="20"/>
              </w:rPr>
              <w:lastRenderedPageBreak/>
              <w:t>Complementary medicine: Acupuncture</w:t>
            </w:r>
          </w:p>
          <w:p w:rsidR="00AB3A3C" w:rsidRPr="00B161C7" w:rsidRDefault="00AB3A3C" w:rsidP="00D35636">
            <w:pPr>
              <w:spacing w:after="0" w:line="240" w:lineRule="auto"/>
              <w:rPr>
                <w:rFonts w:ascii="Calibri" w:eastAsia="Calibri" w:hAnsi="Calibri" w:cs="Arial"/>
                <w:sz w:val="20"/>
                <w:szCs w:val="20"/>
              </w:rPr>
            </w:pPr>
          </w:p>
        </w:tc>
        <w:tc>
          <w:tcPr>
            <w:tcW w:w="4189" w:type="pct"/>
          </w:tcPr>
          <w:p w:rsidR="00AB3A3C" w:rsidRPr="00B161C7" w:rsidRDefault="00AB3A3C" w:rsidP="00D35636">
            <w:pPr>
              <w:spacing w:after="0" w:line="240" w:lineRule="auto"/>
              <w:rPr>
                <w:rFonts w:ascii="Calibri" w:eastAsia="Calibri" w:hAnsi="Calibri" w:cs="Arial"/>
                <w:sz w:val="20"/>
                <w:szCs w:val="20"/>
              </w:rPr>
            </w:pPr>
            <w:r w:rsidRPr="00B161C7">
              <w:rPr>
                <w:rFonts w:ascii="Calibri" w:eastAsia="Calibri" w:hAnsi="Calibri" w:cs="Arial"/>
                <w:sz w:val="20"/>
                <w:szCs w:val="20"/>
              </w:rPr>
              <w:t xml:space="preserve">The majority of CPGs recommended against acupuncture, including for OA </w:t>
            </w:r>
            <w:r w:rsidRPr="005038FB">
              <w:rPr>
                <w:rFonts w:ascii="Calibri" w:eastAsia="Calibri" w:hAnsi="Calibri" w:cs="Arial"/>
                <w:noProof/>
                <w:sz w:val="20"/>
                <w:szCs w:val="20"/>
                <w:vertAlign w:val="superscript"/>
              </w:rPr>
              <w:t>39 45</w:t>
            </w:r>
            <w:r w:rsidRPr="00B161C7">
              <w:rPr>
                <w:rFonts w:ascii="Calibri" w:eastAsia="Calibri" w:hAnsi="Calibri" w:cs="Arial"/>
                <w:sz w:val="20"/>
                <w:szCs w:val="20"/>
              </w:rPr>
              <w:t xml:space="preserve"> and LBP </w:t>
            </w:r>
            <w:r w:rsidRPr="005038FB">
              <w:rPr>
                <w:rFonts w:ascii="Calibri" w:eastAsia="Calibri" w:hAnsi="Calibri" w:cs="Arial"/>
                <w:noProof/>
                <w:sz w:val="20"/>
                <w:szCs w:val="20"/>
                <w:vertAlign w:val="superscript"/>
              </w:rPr>
              <w:t>35 40</w:t>
            </w:r>
            <w:r w:rsidRPr="00B161C7">
              <w:rPr>
                <w:rFonts w:ascii="Calibri" w:eastAsia="Calibri" w:hAnsi="Calibri" w:cs="Arial"/>
                <w:sz w:val="20"/>
                <w:szCs w:val="20"/>
              </w:rPr>
              <w:t xml:space="preserve">. One CPG for LBP </w:t>
            </w:r>
            <w:r w:rsidRPr="005038FB">
              <w:rPr>
                <w:rFonts w:ascii="Calibri" w:eastAsia="Calibri" w:hAnsi="Calibri" w:cs="Arial"/>
                <w:noProof/>
                <w:sz w:val="20"/>
                <w:szCs w:val="20"/>
                <w:vertAlign w:val="superscript"/>
              </w:rPr>
              <w:t>38</w:t>
            </w:r>
            <w:r w:rsidRPr="00B161C7">
              <w:rPr>
                <w:rFonts w:ascii="Calibri" w:eastAsia="Calibri" w:hAnsi="Calibri" w:cs="Arial"/>
                <w:sz w:val="20"/>
                <w:szCs w:val="20"/>
              </w:rPr>
              <w:t xml:space="preserve"> and one for OA were uncertain </w:t>
            </w:r>
            <w:r w:rsidRPr="005038FB">
              <w:rPr>
                <w:rFonts w:ascii="Calibri" w:eastAsia="Calibri" w:hAnsi="Calibri" w:cs="Arial"/>
                <w:noProof/>
                <w:sz w:val="20"/>
                <w:szCs w:val="20"/>
                <w:vertAlign w:val="superscript"/>
              </w:rPr>
              <w:t>42</w:t>
            </w:r>
            <w:r w:rsidRPr="00B161C7">
              <w:rPr>
                <w:rFonts w:ascii="Calibri" w:eastAsia="Calibri" w:hAnsi="Calibri" w:cs="Arial"/>
                <w:sz w:val="20"/>
                <w:szCs w:val="20"/>
              </w:rPr>
              <w:t xml:space="preserve">. Two CPGs recommended considering acupuncture as part of multimodal care; with exercise for rotator cuff disorders </w:t>
            </w:r>
            <w:r w:rsidRPr="005038FB">
              <w:rPr>
                <w:rFonts w:ascii="Calibri" w:eastAsia="Calibri" w:hAnsi="Calibri" w:cs="Arial"/>
                <w:noProof/>
                <w:sz w:val="20"/>
                <w:szCs w:val="20"/>
                <w:vertAlign w:val="superscript"/>
              </w:rPr>
              <w:t>41</w:t>
            </w:r>
            <w:r w:rsidRPr="00B161C7">
              <w:rPr>
                <w:rFonts w:ascii="Calibri" w:eastAsia="Calibri" w:hAnsi="Calibri" w:cs="Arial"/>
                <w:sz w:val="20"/>
                <w:szCs w:val="20"/>
              </w:rPr>
              <w:t xml:space="preserve">, or in addition to spinal manipulation and a range of other possible interventions in the treatment of LBP </w:t>
            </w:r>
            <w:r w:rsidRPr="005038FB">
              <w:rPr>
                <w:rFonts w:ascii="Calibri" w:eastAsia="Calibri" w:hAnsi="Calibri" w:cs="Arial"/>
                <w:noProof/>
                <w:sz w:val="20"/>
                <w:szCs w:val="20"/>
                <w:vertAlign w:val="superscript"/>
              </w:rPr>
              <w:t>37</w:t>
            </w:r>
            <w:r w:rsidRPr="00B161C7">
              <w:rPr>
                <w:rFonts w:ascii="Calibri" w:eastAsia="Calibri" w:hAnsi="Calibri" w:cs="Arial"/>
                <w:sz w:val="20"/>
                <w:szCs w:val="20"/>
              </w:rPr>
              <w:t xml:space="preserve">. </w:t>
            </w:r>
          </w:p>
          <w:p w:rsidR="00AB3A3C" w:rsidRPr="00B161C7" w:rsidRDefault="00AB3A3C" w:rsidP="00D35636">
            <w:pPr>
              <w:spacing w:after="0" w:line="240" w:lineRule="auto"/>
              <w:rPr>
                <w:rFonts w:ascii="Calibri" w:eastAsia="Calibri" w:hAnsi="Calibri" w:cs="Arial"/>
                <w:sz w:val="20"/>
                <w:szCs w:val="20"/>
              </w:rPr>
            </w:pPr>
          </w:p>
        </w:tc>
      </w:tr>
      <w:tr w:rsidR="00AB3A3C" w:rsidRPr="00B161C7" w:rsidTr="00D35636">
        <w:tc>
          <w:tcPr>
            <w:tcW w:w="811" w:type="pct"/>
          </w:tcPr>
          <w:p w:rsidR="00AB3A3C" w:rsidRPr="00B161C7" w:rsidRDefault="00AB3A3C" w:rsidP="00D35636">
            <w:pPr>
              <w:spacing w:after="0" w:line="240" w:lineRule="auto"/>
              <w:rPr>
                <w:rFonts w:ascii="Calibri" w:eastAsia="Calibri" w:hAnsi="Calibri" w:cs="Arial"/>
                <w:sz w:val="20"/>
                <w:szCs w:val="20"/>
              </w:rPr>
            </w:pPr>
            <w:r w:rsidRPr="00B161C7">
              <w:rPr>
                <w:rFonts w:ascii="Calibri" w:eastAsia="Calibri" w:hAnsi="Calibri" w:cs="Arial"/>
                <w:sz w:val="20"/>
                <w:szCs w:val="20"/>
              </w:rPr>
              <w:lastRenderedPageBreak/>
              <w:t xml:space="preserve">MSK pain and work </w:t>
            </w:r>
          </w:p>
        </w:tc>
        <w:tc>
          <w:tcPr>
            <w:tcW w:w="4189" w:type="pct"/>
          </w:tcPr>
          <w:p w:rsidR="00AB3A3C" w:rsidRPr="00B161C7" w:rsidRDefault="00AB3A3C" w:rsidP="00D35636">
            <w:pPr>
              <w:spacing w:after="0" w:line="240" w:lineRule="auto"/>
              <w:rPr>
                <w:rFonts w:ascii="Calibri" w:eastAsia="Calibri" w:hAnsi="Calibri" w:cs="Arial"/>
                <w:sz w:val="20"/>
                <w:szCs w:val="20"/>
              </w:rPr>
            </w:pPr>
            <w:r w:rsidRPr="00B161C7">
              <w:rPr>
                <w:rFonts w:ascii="Calibri" w:eastAsia="Calibri" w:hAnsi="Calibri" w:cs="Arial"/>
                <w:sz w:val="20"/>
                <w:szCs w:val="20"/>
              </w:rPr>
              <w:t xml:space="preserve">Seven CPGs included recommendations relevant to MSK pain and work, one of which specifically targeted the management of rotator cuff syndrome in the workplace </w:t>
            </w:r>
            <w:r w:rsidRPr="005038FB">
              <w:rPr>
                <w:rFonts w:ascii="Calibri" w:eastAsia="Calibri" w:hAnsi="Calibri" w:cs="Arial"/>
                <w:noProof/>
                <w:sz w:val="20"/>
                <w:szCs w:val="20"/>
                <w:vertAlign w:val="superscript"/>
              </w:rPr>
              <w:t>41</w:t>
            </w:r>
            <w:r w:rsidRPr="00B161C7">
              <w:rPr>
                <w:rFonts w:ascii="Calibri" w:eastAsia="Calibri" w:hAnsi="Calibri" w:cs="Arial"/>
                <w:sz w:val="20"/>
                <w:szCs w:val="20"/>
              </w:rPr>
              <w:t xml:space="preserve">. Five CPGs offered a ‘should do’ recommendation for engagement or continuation of work for patients with MSK pain, including neck pain </w:t>
            </w:r>
            <w:r w:rsidRPr="005038FB">
              <w:rPr>
                <w:rFonts w:ascii="Calibri" w:eastAsia="Calibri" w:hAnsi="Calibri" w:cs="Arial"/>
                <w:noProof/>
                <w:sz w:val="20"/>
                <w:szCs w:val="20"/>
                <w:vertAlign w:val="superscript"/>
              </w:rPr>
              <w:t>34</w:t>
            </w:r>
            <w:r w:rsidRPr="00B161C7">
              <w:rPr>
                <w:rFonts w:ascii="Calibri" w:eastAsia="Calibri" w:hAnsi="Calibri" w:cs="Arial"/>
                <w:sz w:val="20"/>
                <w:szCs w:val="20"/>
              </w:rPr>
              <w:t xml:space="preserve">, OA </w:t>
            </w:r>
            <w:r w:rsidRPr="005038FB">
              <w:rPr>
                <w:rFonts w:ascii="Calibri" w:eastAsia="Calibri" w:hAnsi="Calibri" w:cs="Arial"/>
                <w:noProof/>
                <w:sz w:val="20"/>
                <w:szCs w:val="20"/>
                <w:vertAlign w:val="superscript"/>
              </w:rPr>
              <w:t>36</w:t>
            </w:r>
            <w:r w:rsidRPr="00B161C7">
              <w:rPr>
                <w:rFonts w:ascii="Calibri" w:eastAsia="Calibri" w:hAnsi="Calibri" w:cs="Arial"/>
                <w:sz w:val="20"/>
                <w:szCs w:val="20"/>
              </w:rPr>
              <w:t xml:space="preserve">, rotator cuff syndrome </w:t>
            </w:r>
            <w:r w:rsidRPr="005038FB">
              <w:rPr>
                <w:rFonts w:ascii="Calibri" w:eastAsia="Calibri" w:hAnsi="Calibri" w:cs="Arial"/>
                <w:noProof/>
                <w:sz w:val="20"/>
                <w:szCs w:val="20"/>
                <w:vertAlign w:val="superscript"/>
              </w:rPr>
              <w:t>41</w:t>
            </w:r>
            <w:r w:rsidRPr="00B161C7">
              <w:rPr>
                <w:rFonts w:ascii="Calibri" w:eastAsia="Calibri" w:hAnsi="Calibri" w:cs="Arial"/>
                <w:sz w:val="20"/>
                <w:szCs w:val="20"/>
              </w:rPr>
              <w:t xml:space="preserve"> and LBP </w:t>
            </w:r>
            <w:r w:rsidRPr="005038FB">
              <w:rPr>
                <w:rFonts w:ascii="Calibri" w:eastAsia="Calibri" w:hAnsi="Calibri" w:cs="Arial"/>
                <w:noProof/>
                <w:sz w:val="20"/>
                <w:szCs w:val="20"/>
                <w:vertAlign w:val="superscript"/>
              </w:rPr>
              <w:t>35 38</w:t>
            </w:r>
            <w:r w:rsidRPr="00B161C7">
              <w:rPr>
                <w:rFonts w:ascii="Calibri" w:eastAsia="Calibri" w:hAnsi="Calibri" w:cs="Arial"/>
                <w:sz w:val="20"/>
                <w:szCs w:val="20"/>
              </w:rPr>
              <w:t xml:space="preserve">. One CPG for LBP offered a ‘could do’ recommendation to advice patients to stay active, avoid inactivity and gradually increase activity levels, including work involvement </w:t>
            </w:r>
            <w:r w:rsidRPr="005038FB">
              <w:rPr>
                <w:rFonts w:ascii="Calibri" w:eastAsia="Calibri" w:hAnsi="Calibri" w:cs="Arial"/>
                <w:noProof/>
                <w:sz w:val="20"/>
                <w:szCs w:val="20"/>
                <w:vertAlign w:val="superscript"/>
              </w:rPr>
              <w:t>40</w:t>
            </w:r>
            <w:r w:rsidRPr="00B161C7">
              <w:rPr>
                <w:rFonts w:ascii="Calibri" w:eastAsia="Calibri" w:hAnsi="Calibri" w:cs="Arial"/>
                <w:sz w:val="20"/>
                <w:szCs w:val="20"/>
              </w:rPr>
              <w:t xml:space="preserve">.  Three CPGs emphasised early return to work </w:t>
            </w:r>
            <w:r w:rsidRPr="005038FB">
              <w:rPr>
                <w:rFonts w:ascii="Calibri" w:eastAsia="Calibri" w:hAnsi="Calibri" w:cs="Arial"/>
                <w:noProof/>
                <w:sz w:val="20"/>
                <w:szCs w:val="20"/>
                <w:vertAlign w:val="superscript"/>
              </w:rPr>
              <w:t>38</w:t>
            </w:r>
            <w:r w:rsidRPr="00B161C7">
              <w:rPr>
                <w:rFonts w:ascii="Calibri" w:eastAsia="Calibri" w:hAnsi="Calibri" w:cs="Arial"/>
                <w:sz w:val="20"/>
                <w:szCs w:val="20"/>
              </w:rPr>
              <w:t xml:space="preserve"> including engagement of vocational rehabilitations services, communication between worker, employer and health provider, and planning processes to facilitate return to work </w:t>
            </w:r>
            <w:r w:rsidRPr="005038FB">
              <w:rPr>
                <w:rFonts w:ascii="Calibri" w:eastAsia="Calibri" w:hAnsi="Calibri" w:cs="Arial"/>
                <w:noProof/>
                <w:sz w:val="20"/>
                <w:szCs w:val="20"/>
                <w:vertAlign w:val="superscript"/>
              </w:rPr>
              <w:t>41</w:t>
            </w:r>
            <w:r w:rsidRPr="00B161C7">
              <w:rPr>
                <w:rFonts w:ascii="Calibri" w:eastAsia="Calibri" w:hAnsi="Calibri" w:cs="Arial"/>
                <w:sz w:val="20"/>
                <w:szCs w:val="20"/>
              </w:rPr>
              <w:t xml:space="preserve">. One another CPG included workers with injuries, although recommendations were only made in relation to specific questions about the efficacy of interventions for workers e.g. comparing supervised and unsupervised high intensity strength training versus only advice for workers with persistent neck and shoulder pain </w:t>
            </w:r>
            <w:r w:rsidRPr="005038FB">
              <w:rPr>
                <w:rFonts w:ascii="Calibri" w:eastAsia="Calibri" w:hAnsi="Calibri" w:cs="Arial"/>
                <w:noProof/>
                <w:sz w:val="20"/>
                <w:szCs w:val="20"/>
                <w:vertAlign w:val="superscript"/>
              </w:rPr>
              <w:t>33</w:t>
            </w:r>
            <w:r w:rsidRPr="00B161C7">
              <w:rPr>
                <w:rFonts w:ascii="Calibri" w:eastAsia="Calibri" w:hAnsi="Calibri" w:cs="Arial"/>
                <w:sz w:val="20"/>
                <w:szCs w:val="20"/>
              </w:rPr>
              <w:t xml:space="preserve">. </w:t>
            </w:r>
          </w:p>
          <w:p w:rsidR="00AB3A3C" w:rsidRPr="00B161C7" w:rsidRDefault="00AB3A3C" w:rsidP="00D35636">
            <w:pPr>
              <w:spacing w:after="0" w:line="240" w:lineRule="auto"/>
              <w:rPr>
                <w:rFonts w:ascii="Calibri" w:eastAsia="Calibri" w:hAnsi="Calibri" w:cs="Arial"/>
                <w:sz w:val="20"/>
                <w:szCs w:val="20"/>
              </w:rPr>
            </w:pPr>
          </w:p>
          <w:p w:rsidR="00AB3A3C" w:rsidRPr="00B161C7" w:rsidRDefault="00AB3A3C" w:rsidP="00D35636">
            <w:pPr>
              <w:spacing w:after="0" w:line="240" w:lineRule="auto"/>
              <w:rPr>
                <w:rFonts w:ascii="Calibri" w:eastAsia="Calibri" w:hAnsi="Calibri" w:cs="Arial"/>
                <w:sz w:val="20"/>
                <w:szCs w:val="20"/>
                <w:highlight w:val="yellow"/>
              </w:rPr>
            </w:pPr>
            <w:r w:rsidRPr="00B161C7">
              <w:rPr>
                <w:rFonts w:ascii="Calibri" w:eastAsia="Calibri" w:hAnsi="Calibri" w:cs="Arial"/>
                <w:sz w:val="20"/>
                <w:szCs w:val="20"/>
                <w:highlight w:val="yellow"/>
              </w:rPr>
              <w:t xml:space="preserve">Consensus across MSK pain conditions: </w:t>
            </w:r>
          </w:p>
          <w:p w:rsidR="00AB3A3C" w:rsidRPr="00B161C7" w:rsidRDefault="00AB3A3C" w:rsidP="00AB3A3C">
            <w:pPr>
              <w:numPr>
                <w:ilvl w:val="0"/>
                <w:numId w:val="7"/>
              </w:numPr>
              <w:spacing w:after="0" w:line="240" w:lineRule="auto"/>
              <w:contextualSpacing/>
              <w:rPr>
                <w:rFonts w:ascii="Calibri" w:eastAsia="Calibri" w:hAnsi="Calibri" w:cs="Arial"/>
                <w:sz w:val="20"/>
                <w:szCs w:val="20"/>
              </w:rPr>
            </w:pPr>
            <w:r w:rsidRPr="00B161C7">
              <w:rPr>
                <w:rFonts w:ascii="Calibri" w:eastAsia="Calibri" w:hAnsi="Calibri" w:cs="Arial"/>
                <w:sz w:val="20"/>
                <w:szCs w:val="20"/>
                <w:highlight w:val="yellow"/>
              </w:rPr>
              <w:t>Facilitate continuation or resumption of work.</w:t>
            </w:r>
          </w:p>
        </w:tc>
      </w:tr>
    </w:tbl>
    <w:p w:rsidR="00AB3A3C" w:rsidRPr="00B161C7" w:rsidRDefault="00AB3A3C" w:rsidP="00AB3A3C">
      <w:pPr>
        <w:spacing w:after="160" w:line="259" w:lineRule="auto"/>
        <w:rPr>
          <w:rFonts w:ascii="Calibri" w:eastAsia="Calibri" w:hAnsi="Calibri" w:cs="Arial"/>
        </w:rPr>
      </w:pPr>
    </w:p>
    <w:p w:rsidR="009F2015" w:rsidRDefault="009F2015">
      <w:bookmarkStart w:id="0" w:name="_GoBack"/>
      <w:bookmarkEnd w:id="0"/>
    </w:p>
    <w:sectPr w:rsidR="009F2015" w:rsidSect="00AB3A3C">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A42AC9"/>
    <w:multiLevelType w:val="hybridMultilevel"/>
    <w:tmpl w:val="2696B2F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525C576A"/>
    <w:multiLevelType w:val="hybridMultilevel"/>
    <w:tmpl w:val="7ED2BDE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56F24C30"/>
    <w:multiLevelType w:val="hybridMultilevel"/>
    <w:tmpl w:val="1F486CF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634A4901"/>
    <w:multiLevelType w:val="hybridMultilevel"/>
    <w:tmpl w:val="8B2A3B5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715F292F"/>
    <w:multiLevelType w:val="hybridMultilevel"/>
    <w:tmpl w:val="FF46C4A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745B079A"/>
    <w:multiLevelType w:val="hybridMultilevel"/>
    <w:tmpl w:val="7D1E4890"/>
    <w:lvl w:ilvl="0" w:tplc="0C09001B">
      <w:start w:val="1"/>
      <w:numFmt w:val="lowerRoman"/>
      <w:lvlText w:val="%1."/>
      <w:lvlJc w:val="right"/>
      <w:pPr>
        <w:ind w:left="720" w:hanging="360"/>
      </w:pPr>
      <w:rPr>
        <w:rFonts w:hint="default"/>
      </w:rPr>
    </w:lvl>
    <w:lvl w:ilvl="1" w:tplc="0C09001B">
      <w:start w:val="1"/>
      <w:numFmt w:val="lowerRoman"/>
      <w:lvlText w:val="%2."/>
      <w:lvlJc w:val="right"/>
      <w:pPr>
        <w:ind w:left="1440" w:hanging="360"/>
      </w:pPr>
      <w:rPr>
        <w:rFont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7A2413C5"/>
    <w:multiLevelType w:val="hybridMultilevel"/>
    <w:tmpl w:val="52ACF7A6"/>
    <w:lvl w:ilvl="0" w:tplc="0C090001">
      <w:start w:val="1"/>
      <w:numFmt w:val="bullet"/>
      <w:lvlText w:val=""/>
      <w:lvlJc w:val="left"/>
      <w:pPr>
        <w:ind w:left="360" w:hanging="360"/>
      </w:pPr>
      <w:rPr>
        <w:rFonts w:ascii="Symbol" w:hAnsi="Symbol" w:hint="default"/>
      </w:rPr>
    </w:lvl>
    <w:lvl w:ilvl="1" w:tplc="0C09001B">
      <w:start w:val="1"/>
      <w:numFmt w:val="lowerRoman"/>
      <w:lvlText w:val="%2."/>
      <w:lvlJc w:val="right"/>
      <w:pPr>
        <w:ind w:left="1080" w:hanging="360"/>
      </w:pPr>
      <w:rPr>
        <w:rFonts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6"/>
  </w:num>
  <w:num w:numId="2">
    <w:abstractNumId w:val="2"/>
  </w:num>
  <w:num w:numId="3">
    <w:abstractNumId w:val="4"/>
  </w:num>
  <w:num w:numId="4">
    <w:abstractNumId w:val="1"/>
  </w:num>
  <w:num w:numId="5">
    <w:abstractNumId w:val="5"/>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D81"/>
    <w:rsid w:val="00001D24"/>
    <w:rsid w:val="00002551"/>
    <w:rsid w:val="00002813"/>
    <w:rsid w:val="000053F0"/>
    <w:rsid w:val="00005550"/>
    <w:rsid w:val="00006BE6"/>
    <w:rsid w:val="00010DC9"/>
    <w:rsid w:val="00010E86"/>
    <w:rsid w:val="00011559"/>
    <w:rsid w:val="000138F0"/>
    <w:rsid w:val="00013A31"/>
    <w:rsid w:val="00014F63"/>
    <w:rsid w:val="00015160"/>
    <w:rsid w:val="00015A44"/>
    <w:rsid w:val="00016CDA"/>
    <w:rsid w:val="00017A88"/>
    <w:rsid w:val="0002053E"/>
    <w:rsid w:val="000227ED"/>
    <w:rsid w:val="00022A2A"/>
    <w:rsid w:val="00023DA3"/>
    <w:rsid w:val="0002421A"/>
    <w:rsid w:val="00024A28"/>
    <w:rsid w:val="00025B3C"/>
    <w:rsid w:val="00027B63"/>
    <w:rsid w:val="000311E3"/>
    <w:rsid w:val="00032D41"/>
    <w:rsid w:val="000338DB"/>
    <w:rsid w:val="000344EB"/>
    <w:rsid w:val="000346D6"/>
    <w:rsid w:val="00034942"/>
    <w:rsid w:val="00035234"/>
    <w:rsid w:val="000408E6"/>
    <w:rsid w:val="00041013"/>
    <w:rsid w:val="000420BB"/>
    <w:rsid w:val="000425D3"/>
    <w:rsid w:val="00044039"/>
    <w:rsid w:val="00044B4D"/>
    <w:rsid w:val="00044D42"/>
    <w:rsid w:val="00044E13"/>
    <w:rsid w:val="00045097"/>
    <w:rsid w:val="00045830"/>
    <w:rsid w:val="00051A64"/>
    <w:rsid w:val="00052E75"/>
    <w:rsid w:val="000532E4"/>
    <w:rsid w:val="00053A10"/>
    <w:rsid w:val="00054043"/>
    <w:rsid w:val="00055D0A"/>
    <w:rsid w:val="000562F6"/>
    <w:rsid w:val="000626F4"/>
    <w:rsid w:val="00062B21"/>
    <w:rsid w:val="00062CBB"/>
    <w:rsid w:val="00066018"/>
    <w:rsid w:val="0006630F"/>
    <w:rsid w:val="000672B9"/>
    <w:rsid w:val="0006764C"/>
    <w:rsid w:val="00072908"/>
    <w:rsid w:val="00072E91"/>
    <w:rsid w:val="0007305D"/>
    <w:rsid w:val="00073543"/>
    <w:rsid w:val="00074CB5"/>
    <w:rsid w:val="00075050"/>
    <w:rsid w:val="000761AF"/>
    <w:rsid w:val="00076625"/>
    <w:rsid w:val="00080BB4"/>
    <w:rsid w:val="00080EF2"/>
    <w:rsid w:val="000814B4"/>
    <w:rsid w:val="00082923"/>
    <w:rsid w:val="00083F7C"/>
    <w:rsid w:val="00084546"/>
    <w:rsid w:val="000845E3"/>
    <w:rsid w:val="00084D9C"/>
    <w:rsid w:val="00085A3E"/>
    <w:rsid w:val="00085B43"/>
    <w:rsid w:val="00085E53"/>
    <w:rsid w:val="0008607A"/>
    <w:rsid w:val="000865F8"/>
    <w:rsid w:val="00086A86"/>
    <w:rsid w:val="00087176"/>
    <w:rsid w:val="0008788B"/>
    <w:rsid w:val="00087F4E"/>
    <w:rsid w:val="00091FB1"/>
    <w:rsid w:val="0009599F"/>
    <w:rsid w:val="00096491"/>
    <w:rsid w:val="00097EDC"/>
    <w:rsid w:val="000A026A"/>
    <w:rsid w:val="000A115F"/>
    <w:rsid w:val="000A368E"/>
    <w:rsid w:val="000A36D7"/>
    <w:rsid w:val="000A3CF1"/>
    <w:rsid w:val="000A411C"/>
    <w:rsid w:val="000A426A"/>
    <w:rsid w:val="000A42F4"/>
    <w:rsid w:val="000A43EB"/>
    <w:rsid w:val="000A46A8"/>
    <w:rsid w:val="000A47A5"/>
    <w:rsid w:val="000A4D8D"/>
    <w:rsid w:val="000A5BAD"/>
    <w:rsid w:val="000A6D46"/>
    <w:rsid w:val="000A7025"/>
    <w:rsid w:val="000A7039"/>
    <w:rsid w:val="000A752A"/>
    <w:rsid w:val="000A7E5B"/>
    <w:rsid w:val="000B0422"/>
    <w:rsid w:val="000B152B"/>
    <w:rsid w:val="000B3085"/>
    <w:rsid w:val="000B3D8E"/>
    <w:rsid w:val="000B4016"/>
    <w:rsid w:val="000B43A6"/>
    <w:rsid w:val="000B4D3F"/>
    <w:rsid w:val="000B73C1"/>
    <w:rsid w:val="000B76A9"/>
    <w:rsid w:val="000C0B5E"/>
    <w:rsid w:val="000C1ADC"/>
    <w:rsid w:val="000C1FA8"/>
    <w:rsid w:val="000C2394"/>
    <w:rsid w:val="000C2CFD"/>
    <w:rsid w:val="000C40AA"/>
    <w:rsid w:val="000D0DCD"/>
    <w:rsid w:val="000D2434"/>
    <w:rsid w:val="000D2961"/>
    <w:rsid w:val="000D2D3C"/>
    <w:rsid w:val="000D2E5D"/>
    <w:rsid w:val="000D4402"/>
    <w:rsid w:val="000D4BAD"/>
    <w:rsid w:val="000D4F00"/>
    <w:rsid w:val="000D51FE"/>
    <w:rsid w:val="000D6FC7"/>
    <w:rsid w:val="000D7BBA"/>
    <w:rsid w:val="000E1F58"/>
    <w:rsid w:val="000E2BC4"/>
    <w:rsid w:val="000E2D7D"/>
    <w:rsid w:val="000E3452"/>
    <w:rsid w:val="000E3A71"/>
    <w:rsid w:val="000E405E"/>
    <w:rsid w:val="000E4142"/>
    <w:rsid w:val="000E4C49"/>
    <w:rsid w:val="000E67F9"/>
    <w:rsid w:val="000E7E81"/>
    <w:rsid w:val="000F04F9"/>
    <w:rsid w:val="000F13EC"/>
    <w:rsid w:val="000F1612"/>
    <w:rsid w:val="000F2B07"/>
    <w:rsid w:val="000F48E8"/>
    <w:rsid w:val="000F5889"/>
    <w:rsid w:val="000F66EE"/>
    <w:rsid w:val="000F6CAE"/>
    <w:rsid w:val="000F7BDD"/>
    <w:rsid w:val="001008BB"/>
    <w:rsid w:val="001029B3"/>
    <w:rsid w:val="00103101"/>
    <w:rsid w:val="001040AD"/>
    <w:rsid w:val="0010441A"/>
    <w:rsid w:val="0010450C"/>
    <w:rsid w:val="00104CA6"/>
    <w:rsid w:val="00105D41"/>
    <w:rsid w:val="001066A6"/>
    <w:rsid w:val="0010694E"/>
    <w:rsid w:val="00107423"/>
    <w:rsid w:val="00107F72"/>
    <w:rsid w:val="001134CE"/>
    <w:rsid w:val="001144FA"/>
    <w:rsid w:val="001146A3"/>
    <w:rsid w:val="001148A5"/>
    <w:rsid w:val="00115407"/>
    <w:rsid w:val="00115A78"/>
    <w:rsid w:val="0011649B"/>
    <w:rsid w:val="00117BAF"/>
    <w:rsid w:val="0012008A"/>
    <w:rsid w:val="00120A4E"/>
    <w:rsid w:val="00120E9A"/>
    <w:rsid w:val="0012193B"/>
    <w:rsid w:val="00121FBB"/>
    <w:rsid w:val="001239E5"/>
    <w:rsid w:val="00126CA7"/>
    <w:rsid w:val="00127D90"/>
    <w:rsid w:val="00131B06"/>
    <w:rsid w:val="00132458"/>
    <w:rsid w:val="00132671"/>
    <w:rsid w:val="00132AF0"/>
    <w:rsid w:val="00134692"/>
    <w:rsid w:val="00135611"/>
    <w:rsid w:val="001358D8"/>
    <w:rsid w:val="00140323"/>
    <w:rsid w:val="001420EF"/>
    <w:rsid w:val="00142952"/>
    <w:rsid w:val="00145083"/>
    <w:rsid w:val="00145DF8"/>
    <w:rsid w:val="00146635"/>
    <w:rsid w:val="00147EB3"/>
    <w:rsid w:val="00153549"/>
    <w:rsid w:val="00155617"/>
    <w:rsid w:val="00155A1F"/>
    <w:rsid w:val="00157645"/>
    <w:rsid w:val="001600C6"/>
    <w:rsid w:val="001601F7"/>
    <w:rsid w:val="0016033F"/>
    <w:rsid w:val="00161548"/>
    <w:rsid w:val="001629F3"/>
    <w:rsid w:val="001643B5"/>
    <w:rsid w:val="00164413"/>
    <w:rsid w:val="0016467E"/>
    <w:rsid w:val="00164BE9"/>
    <w:rsid w:val="00164EC8"/>
    <w:rsid w:val="00165B56"/>
    <w:rsid w:val="00170097"/>
    <w:rsid w:val="001704C7"/>
    <w:rsid w:val="001736DA"/>
    <w:rsid w:val="00173BC3"/>
    <w:rsid w:val="00173C7E"/>
    <w:rsid w:val="0017426C"/>
    <w:rsid w:val="00175FF6"/>
    <w:rsid w:val="001762BF"/>
    <w:rsid w:val="00180BC9"/>
    <w:rsid w:val="0018145E"/>
    <w:rsid w:val="00182190"/>
    <w:rsid w:val="001824A9"/>
    <w:rsid w:val="0018288F"/>
    <w:rsid w:val="00184409"/>
    <w:rsid w:val="00184FAA"/>
    <w:rsid w:val="00185385"/>
    <w:rsid w:val="001855AC"/>
    <w:rsid w:val="00187C2C"/>
    <w:rsid w:val="00190053"/>
    <w:rsid w:val="00190967"/>
    <w:rsid w:val="001911FA"/>
    <w:rsid w:val="00191430"/>
    <w:rsid w:val="00191EB9"/>
    <w:rsid w:val="001924CB"/>
    <w:rsid w:val="001936FA"/>
    <w:rsid w:val="00193784"/>
    <w:rsid w:val="0019509F"/>
    <w:rsid w:val="001958E5"/>
    <w:rsid w:val="00195B5B"/>
    <w:rsid w:val="00196376"/>
    <w:rsid w:val="00196B4E"/>
    <w:rsid w:val="001970AF"/>
    <w:rsid w:val="001A142C"/>
    <w:rsid w:val="001A254F"/>
    <w:rsid w:val="001A2DC1"/>
    <w:rsid w:val="001A5DBE"/>
    <w:rsid w:val="001A6913"/>
    <w:rsid w:val="001A7AD7"/>
    <w:rsid w:val="001B35CD"/>
    <w:rsid w:val="001B4457"/>
    <w:rsid w:val="001B4482"/>
    <w:rsid w:val="001B4860"/>
    <w:rsid w:val="001B5927"/>
    <w:rsid w:val="001C1DCB"/>
    <w:rsid w:val="001C24A3"/>
    <w:rsid w:val="001C2756"/>
    <w:rsid w:val="001C3C26"/>
    <w:rsid w:val="001C48B2"/>
    <w:rsid w:val="001C612B"/>
    <w:rsid w:val="001C7509"/>
    <w:rsid w:val="001D04C9"/>
    <w:rsid w:val="001D13E0"/>
    <w:rsid w:val="001D24C4"/>
    <w:rsid w:val="001D2B54"/>
    <w:rsid w:val="001D2FA2"/>
    <w:rsid w:val="001D34A3"/>
    <w:rsid w:val="001D35F4"/>
    <w:rsid w:val="001D49D3"/>
    <w:rsid w:val="001D4A93"/>
    <w:rsid w:val="001D4B48"/>
    <w:rsid w:val="001D4DCD"/>
    <w:rsid w:val="001D5FCC"/>
    <w:rsid w:val="001D65BE"/>
    <w:rsid w:val="001D670E"/>
    <w:rsid w:val="001E34C0"/>
    <w:rsid w:val="001E4020"/>
    <w:rsid w:val="001E4AB4"/>
    <w:rsid w:val="001E633A"/>
    <w:rsid w:val="001E7078"/>
    <w:rsid w:val="001F0B39"/>
    <w:rsid w:val="001F2311"/>
    <w:rsid w:val="001F255B"/>
    <w:rsid w:val="001F34F7"/>
    <w:rsid w:val="001F446D"/>
    <w:rsid w:val="001F6A1E"/>
    <w:rsid w:val="001F7D1D"/>
    <w:rsid w:val="002001A4"/>
    <w:rsid w:val="00200BD3"/>
    <w:rsid w:val="002013BF"/>
    <w:rsid w:val="00201C31"/>
    <w:rsid w:val="002027AE"/>
    <w:rsid w:val="002036AC"/>
    <w:rsid w:val="00203D7E"/>
    <w:rsid w:val="00204247"/>
    <w:rsid w:val="00204592"/>
    <w:rsid w:val="0020593E"/>
    <w:rsid w:val="00206A73"/>
    <w:rsid w:val="0020719D"/>
    <w:rsid w:val="00210474"/>
    <w:rsid w:val="00210DC3"/>
    <w:rsid w:val="00213CF3"/>
    <w:rsid w:val="00214062"/>
    <w:rsid w:val="00214617"/>
    <w:rsid w:val="00214C77"/>
    <w:rsid w:val="0021604B"/>
    <w:rsid w:val="00216496"/>
    <w:rsid w:val="002169F0"/>
    <w:rsid w:val="00220C99"/>
    <w:rsid w:val="00220F26"/>
    <w:rsid w:val="00223068"/>
    <w:rsid w:val="00223DB5"/>
    <w:rsid w:val="00223F65"/>
    <w:rsid w:val="002241FC"/>
    <w:rsid w:val="00224FC1"/>
    <w:rsid w:val="0022661E"/>
    <w:rsid w:val="00226713"/>
    <w:rsid w:val="00226C33"/>
    <w:rsid w:val="00232485"/>
    <w:rsid w:val="00233AB5"/>
    <w:rsid w:val="00233DBB"/>
    <w:rsid w:val="00236191"/>
    <w:rsid w:val="00240191"/>
    <w:rsid w:val="0024128B"/>
    <w:rsid w:val="00241B27"/>
    <w:rsid w:val="00242257"/>
    <w:rsid w:val="00242433"/>
    <w:rsid w:val="0024396C"/>
    <w:rsid w:val="00245FDB"/>
    <w:rsid w:val="00246885"/>
    <w:rsid w:val="00247876"/>
    <w:rsid w:val="00247E3A"/>
    <w:rsid w:val="002523CC"/>
    <w:rsid w:val="002532B6"/>
    <w:rsid w:val="00253358"/>
    <w:rsid w:val="00253608"/>
    <w:rsid w:val="0025363E"/>
    <w:rsid w:val="00254771"/>
    <w:rsid w:val="002548AA"/>
    <w:rsid w:val="002562C8"/>
    <w:rsid w:val="00256F58"/>
    <w:rsid w:val="002570C7"/>
    <w:rsid w:val="00260703"/>
    <w:rsid w:val="002609AC"/>
    <w:rsid w:val="002620F1"/>
    <w:rsid w:val="0026322D"/>
    <w:rsid w:val="00263D63"/>
    <w:rsid w:val="00263ECE"/>
    <w:rsid w:val="002645A3"/>
    <w:rsid w:val="00264F04"/>
    <w:rsid w:val="002650EE"/>
    <w:rsid w:val="00265E4C"/>
    <w:rsid w:val="0026617F"/>
    <w:rsid w:val="00266666"/>
    <w:rsid w:val="00266E03"/>
    <w:rsid w:val="00267771"/>
    <w:rsid w:val="0027026C"/>
    <w:rsid w:val="00273043"/>
    <w:rsid w:val="002739FB"/>
    <w:rsid w:val="002740DB"/>
    <w:rsid w:val="00274DED"/>
    <w:rsid w:val="0027580C"/>
    <w:rsid w:val="00275A2B"/>
    <w:rsid w:val="00276152"/>
    <w:rsid w:val="00276180"/>
    <w:rsid w:val="00276669"/>
    <w:rsid w:val="0027776A"/>
    <w:rsid w:val="0028007F"/>
    <w:rsid w:val="00280425"/>
    <w:rsid w:val="002814D8"/>
    <w:rsid w:val="00281DB7"/>
    <w:rsid w:val="0028278F"/>
    <w:rsid w:val="00283CEB"/>
    <w:rsid w:val="002855AC"/>
    <w:rsid w:val="00286281"/>
    <w:rsid w:val="00286CF8"/>
    <w:rsid w:val="002876B8"/>
    <w:rsid w:val="00290D5F"/>
    <w:rsid w:val="00291181"/>
    <w:rsid w:val="002916A3"/>
    <w:rsid w:val="00291D77"/>
    <w:rsid w:val="002923B1"/>
    <w:rsid w:val="0029258E"/>
    <w:rsid w:val="00293502"/>
    <w:rsid w:val="00294992"/>
    <w:rsid w:val="00294DFE"/>
    <w:rsid w:val="002952BA"/>
    <w:rsid w:val="00295920"/>
    <w:rsid w:val="00296FF4"/>
    <w:rsid w:val="00297161"/>
    <w:rsid w:val="002A3898"/>
    <w:rsid w:val="002A3B9A"/>
    <w:rsid w:val="002A5815"/>
    <w:rsid w:val="002A6282"/>
    <w:rsid w:val="002A6466"/>
    <w:rsid w:val="002A6799"/>
    <w:rsid w:val="002A6828"/>
    <w:rsid w:val="002A6AB1"/>
    <w:rsid w:val="002B297A"/>
    <w:rsid w:val="002B38C8"/>
    <w:rsid w:val="002B6AFA"/>
    <w:rsid w:val="002C0605"/>
    <w:rsid w:val="002C1560"/>
    <w:rsid w:val="002C4205"/>
    <w:rsid w:val="002C44A2"/>
    <w:rsid w:val="002C5F04"/>
    <w:rsid w:val="002D203A"/>
    <w:rsid w:val="002D4D44"/>
    <w:rsid w:val="002D59C5"/>
    <w:rsid w:val="002D6CAB"/>
    <w:rsid w:val="002D7589"/>
    <w:rsid w:val="002D7A21"/>
    <w:rsid w:val="002E073A"/>
    <w:rsid w:val="002E0CFF"/>
    <w:rsid w:val="002E2127"/>
    <w:rsid w:val="002E2A60"/>
    <w:rsid w:val="002E3E05"/>
    <w:rsid w:val="002E43AA"/>
    <w:rsid w:val="002E65C7"/>
    <w:rsid w:val="002E6E43"/>
    <w:rsid w:val="002F22BD"/>
    <w:rsid w:val="002F29D4"/>
    <w:rsid w:val="002F5AB8"/>
    <w:rsid w:val="002F6703"/>
    <w:rsid w:val="003022AE"/>
    <w:rsid w:val="00303DAC"/>
    <w:rsid w:val="003040EB"/>
    <w:rsid w:val="003048BD"/>
    <w:rsid w:val="00304B8C"/>
    <w:rsid w:val="00306510"/>
    <w:rsid w:val="00310150"/>
    <w:rsid w:val="003104B1"/>
    <w:rsid w:val="003105D3"/>
    <w:rsid w:val="00311C6D"/>
    <w:rsid w:val="003127D9"/>
    <w:rsid w:val="0031327B"/>
    <w:rsid w:val="0031418B"/>
    <w:rsid w:val="003147E7"/>
    <w:rsid w:val="00314FFE"/>
    <w:rsid w:val="00315B29"/>
    <w:rsid w:val="00316CFB"/>
    <w:rsid w:val="00317826"/>
    <w:rsid w:val="003202F4"/>
    <w:rsid w:val="003206A3"/>
    <w:rsid w:val="00321250"/>
    <w:rsid w:val="0032128F"/>
    <w:rsid w:val="00322A17"/>
    <w:rsid w:val="00324B2E"/>
    <w:rsid w:val="00325631"/>
    <w:rsid w:val="00325671"/>
    <w:rsid w:val="00326C4B"/>
    <w:rsid w:val="0032711A"/>
    <w:rsid w:val="0032714A"/>
    <w:rsid w:val="00330B9F"/>
    <w:rsid w:val="003314A9"/>
    <w:rsid w:val="00332115"/>
    <w:rsid w:val="00333939"/>
    <w:rsid w:val="00334329"/>
    <w:rsid w:val="0033595F"/>
    <w:rsid w:val="00336ED1"/>
    <w:rsid w:val="00337840"/>
    <w:rsid w:val="003418CB"/>
    <w:rsid w:val="00344476"/>
    <w:rsid w:val="00344E59"/>
    <w:rsid w:val="003457CC"/>
    <w:rsid w:val="00347CCB"/>
    <w:rsid w:val="003507BE"/>
    <w:rsid w:val="00350EF5"/>
    <w:rsid w:val="0035317A"/>
    <w:rsid w:val="0035317B"/>
    <w:rsid w:val="00353204"/>
    <w:rsid w:val="00353D6E"/>
    <w:rsid w:val="00354154"/>
    <w:rsid w:val="003546BE"/>
    <w:rsid w:val="00355915"/>
    <w:rsid w:val="00356079"/>
    <w:rsid w:val="003562D5"/>
    <w:rsid w:val="00356782"/>
    <w:rsid w:val="00356CC3"/>
    <w:rsid w:val="00357870"/>
    <w:rsid w:val="00357FDC"/>
    <w:rsid w:val="00360FE0"/>
    <w:rsid w:val="00361F95"/>
    <w:rsid w:val="00365377"/>
    <w:rsid w:val="00365C02"/>
    <w:rsid w:val="00366D6D"/>
    <w:rsid w:val="0036783D"/>
    <w:rsid w:val="00370AA9"/>
    <w:rsid w:val="00371F57"/>
    <w:rsid w:val="00372CD3"/>
    <w:rsid w:val="0037444A"/>
    <w:rsid w:val="0037545B"/>
    <w:rsid w:val="00375A85"/>
    <w:rsid w:val="00376BAB"/>
    <w:rsid w:val="003802A1"/>
    <w:rsid w:val="00380C91"/>
    <w:rsid w:val="00383747"/>
    <w:rsid w:val="00383B43"/>
    <w:rsid w:val="003846BE"/>
    <w:rsid w:val="00385C87"/>
    <w:rsid w:val="00386375"/>
    <w:rsid w:val="0038758B"/>
    <w:rsid w:val="00390371"/>
    <w:rsid w:val="00390384"/>
    <w:rsid w:val="003907BE"/>
    <w:rsid w:val="00390884"/>
    <w:rsid w:val="00391411"/>
    <w:rsid w:val="0039277E"/>
    <w:rsid w:val="00393235"/>
    <w:rsid w:val="00393748"/>
    <w:rsid w:val="0039383A"/>
    <w:rsid w:val="0039437E"/>
    <w:rsid w:val="00394780"/>
    <w:rsid w:val="00394858"/>
    <w:rsid w:val="003949BB"/>
    <w:rsid w:val="00395C2C"/>
    <w:rsid w:val="00396001"/>
    <w:rsid w:val="00396E41"/>
    <w:rsid w:val="003970A8"/>
    <w:rsid w:val="003A0BE2"/>
    <w:rsid w:val="003A1A1E"/>
    <w:rsid w:val="003A2BF3"/>
    <w:rsid w:val="003A3BAB"/>
    <w:rsid w:val="003A4CB1"/>
    <w:rsid w:val="003A712D"/>
    <w:rsid w:val="003A7C2C"/>
    <w:rsid w:val="003A7DD3"/>
    <w:rsid w:val="003B1495"/>
    <w:rsid w:val="003B180B"/>
    <w:rsid w:val="003B1A54"/>
    <w:rsid w:val="003B309E"/>
    <w:rsid w:val="003B3657"/>
    <w:rsid w:val="003B5D04"/>
    <w:rsid w:val="003B60AE"/>
    <w:rsid w:val="003B6818"/>
    <w:rsid w:val="003B6E04"/>
    <w:rsid w:val="003B6E2A"/>
    <w:rsid w:val="003B6FF2"/>
    <w:rsid w:val="003C0271"/>
    <w:rsid w:val="003C0527"/>
    <w:rsid w:val="003C1E0E"/>
    <w:rsid w:val="003C23A8"/>
    <w:rsid w:val="003C2A4D"/>
    <w:rsid w:val="003C6533"/>
    <w:rsid w:val="003C6AB2"/>
    <w:rsid w:val="003C7476"/>
    <w:rsid w:val="003C75AC"/>
    <w:rsid w:val="003C7CC2"/>
    <w:rsid w:val="003C7E9E"/>
    <w:rsid w:val="003D0FAC"/>
    <w:rsid w:val="003D198D"/>
    <w:rsid w:val="003D1D69"/>
    <w:rsid w:val="003D254E"/>
    <w:rsid w:val="003D28E0"/>
    <w:rsid w:val="003D2F71"/>
    <w:rsid w:val="003D318C"/>
    <w:rsid w:val="003D46C1"/>
    <w:rsid w:val="003D4F2B"/>
    <w:rsid w:val="003D60CD"/>
    <w:rsid w:val="003D7972"/>
    <w:rsid w:val="003D7E89"/>
    <w:rsid w:val="003E10D1"/>
    <w:rsid w:val="003E178C"/>
    <w:rsid w:val="003E28E1"/>
    <w:rsid w:val="003E35ED"/>
    <w:rsid w:val="003E37B8"/>
    <w:rsid w:val="003E3C97"/>
    <w:rsid w:val="003E3EBD"/>
    <w:rsid w:val="003E4633"/>
    <w:rsid w:val="003E5C45"/>
    <w:rsid w:val="003E6CAC"/>
    <w:rsid w:val="003E6EBE"/>
    <w:rsid w:val="003E7B92"/>
    <w:rsid w:val="003F05D7"/>
    <w:rsid w:val="003F0D20"/>
    <w:rsid w:val="003F10E8"/>
    <w:rsid w:val="003F18FE"/>
    <w:rsid w:val="003F3500"/>
    <w:rsid w:val="003F72DB"/>
    <w:rsid w:val="003F7820"/>
    <w:rsid w:val="00400869"/>
    <w:rsid w:val="00400E5F"/>
    <w:rsid w:val="0040198B"/>
    <w:rsid w:val="00401E66"/>
    <w:rsid w:val="004029FA"/>
    <w:rsid w:val="00403037"/>
    <w:rsid w:val="004051D5"/>
    <w:rsid w:val="00406E48"/>
    <w:rsid w:val="00407007"/>
    <w:rsid w:val="004102A5"/>
    <w:rsid w:val="004106C4"/>
    <w:rsid w:val="00412EC2"/>
    <w:rsid w:val="00412ECD"/>
    <w:rsid w:val="00413AC5"/>
    <w:rsid w:val="00415543"/>
    <w:rsid w:val="00416B60"/>
    <w:rsid w:val="004171E9"/>
    <w:rsid w:val="00421362"/>
    <w:rsid w:val="00422612"/>
    <w:rsid w:val="00424108"/>
    <w:rsid w:val="004257A1"/>
    <w:rsid w:val="00426F03"/>
    <w:rsid w:val="00427FFA"/>
    <w:rsid w:val="00430F67"/>
    <w:rsid w:val="004313CE"/>
    <w:rsid w:val="004317D9"/>
    <w:rsid w:val="004321B0"/>
    <w:rsid w:val="0043249F"/>
    <w:rsid w:val="00432BE5"/>
    <w:rsid w:val="00435717"/>
    <w:rsid w:val="00436A98"/>
    <w:rsid w:val="00436EF7"/>
    <w:rsid w:val="00437524"/>
    <w:rsid w:val="004425D2"/>
    <w:rsid w:val="00442A0A"/>
    <w:rsid w:val="00445476"/>
    <w:rsid w:val="004458C2"/>
    <w:rsid w:val="00446E93"/>
    <w:rsid w:val="0044738E"/>
    <w:rsid w:val="00451970"/>
    <w:rsid w:val="00452FB5"/>
    <w:rsid w:val="00453814"/>
    <w:rsid w:val="004546B7"/>
    <w:rsid w:val="00455335"/>
    <w:rsid w:val="00455C25"/>
    <w:rsid w:val="00455F47"/>
    <w:rsid w:val="0045625F"/>
    <w:rsid w:val="00457A4B"/>
    <w:rsid w:val="004601F2"/>
    <w:rsid w:val="00461479"/>
    <w:rsid w:val="00461E10"/>
    <w:rsid w:val="00462175"/>
    <w:rsid w:val="00462236"/>
    <w:rsid w:val="004643D9"/>
    <w:rsid w:val="00464958"/>
    <w:rsid w:val="004655EA"/>
    <w:rsid w:val="00466DD4"/>
    <w:rsid w:val="00470F91"/>
    <w:rsid w:val="00471987"/>
    <w:rsid w:val="004758E8"/>
    <w:rsid w:val="0047594F"/>
    <w:rsid w:val="00477A81"/>
    <w:rsid w:val="00481D4C"/>
    <w:rsid w:val="004843B2"/>
    <w:rsid w:val="00484DA0"/>
    <w:rsid w:val="0049166B"/>
    <w:rsid w:val="004929DA"/>
    <w:rsid w:val="0049338F"/>
    <w:rsid w:val="00493AF2"/>
    <w:rsid w:val="0049648C"/>
    <w:rsid w:val="00496E3B"/>
    <w:rsid w:val="004972AE"/>
    <w:rsid w:val="004A03A1"/>
    <w:rsid w:val="004A08FF"/>
    <w:rsid w:val="004A09F8"/>
    <w:rsid w:val="004A1A91"/>
    <w:rsid w:val="004A2191"/>
    <w:rsid w:val="004A43EC"/>
    <w:rsid w:val="004A4622"/>
    <w:rsid w:val="004A4B26"/>
    <w:rsid w:val="004A5894"/>
    <w:rsid w:val="004B0662"/>
    <w:rsid w:val="004B08A3"/>
    <w:rsid w:val="004B1CE4"/>
    <w:rsid w:val="004B1E35"/>
    <w:rsid w:val="004B3FAD"/>
    <w:rsid w:val="004B4567"/>
    <w:rsid w:val="004B4A6F"/>
    <w:rsid w:val="004B4FAF"/>
    <w:rsid w:val="004B5345"/>
    <w:rsid w:val="004B5F90"/>
    <w:rsid w:val="004B69EC"/>
    <w:rsid w:val="004B6A07"/>
    <w:rsid w:val="004B6F66"/>
    <w:rsid w:val="004C037F"/>
    <w:rsid w:val="004C06E1"/>
    <w:rsid w:val="004C0EDE"/>
    <w:rsid w:val="004C5186"/>
    <w:rsid w:val="004C5CB8"/>
    <w:rsid w:val="004C6CC8"/>
    <w:rsid w:val="004C74D4"/>
    <w:rsid w:val="004C760B"/>
    <w:rsid w:val="004C7987"/>
    <w:rsid w:val="004C7DAB"/>
    <w:rsid w:val="004D12DC"/>
    <w:rsid w:val="004D22B8"/>
    <w:rsid w:val="004D4B13"/>
    <w:rsid w:val="004D5132"/>
    <w:rsid w:val="004D6F83"/>
    <w:rsid w:val="004E08BE"/>
    <w:rsid w:val="004E198A"/>
    <w:rsid w:val="004E2B45"/>
    <w:rsid w:val="004E3863"/>
    <w:rsid w:val="004E440E"/>
    <w:rsid w:val="004E48BB"/>
    <w:rsid w:val="004E49EB"/>
    <w:rsid w:val="004E4CB6"/>
    <w:rsid w:val="004E536D"/>
    <w:rsid w:val="004E5C60"/>
    <w:rsid w:val="004E6A3F"/>
    <w:rsid w:val="004E7202"/>
    <w:rsid w:val="004E79A7"/>
    <w:rsid w:val="004E7B4A"/>
    <w:rsid w:val="004F1249"/>
    <w:rsid w:val="004F19CB"/>
    <w:rsid w:val="004F38ED"/>
    <w:rsid w:val="004F3D36"/>
    <w:rsid w:val="004F3E87"/>
    <w:rsid w:val="004F3F9A"/>
    <w:rsid w:val="004F457B"/>
    <w:rsid w:val="004F4E54"/>
    <w:rsid w:val="004F5358"/>
    <w:rsid w:val="004F7B4B"/>
    <w:rsid w:val="00501971"/>
    <w:rsid w:val="00501D81"/>
    <w:rsid w:val="005037F4"/>
    <w:rsid w:val="00506DA1"/>
    <w:rsid w:val="005079A6"/>
    <w:rsid w:val="00507C4B"/>
    <w:rsid w:val="00510A74"/>
    <w:rsid w:val="005120C3"/>
    <w:rsid w:val="00512C13"/>
    <w:rsid w:val="00516C92"/>
    <w:rsid w:val="0051780F"/>
    <w:rsid w:val="00517D86"/>
    <w:rsid w:val="00520553"/>
    <w:rsid w:val="00522E61"/>
    <w:rsid w:val="00524A3F"/>
    <w:rsid w:val="0052521D"/>
    <w:rsid w:val="00525DE9"/>
    <w:rsid w:val="005260FC"/>
    <w:rsid w:val="005269AA"/>
    <w:rsid w:val="00527505"/>
    <w:rsid w:val="00527C4C"/>
    <w:rsid w:val="005338EA"/>
    <w:rsid w:val="005347EC"/>
    <w:rsid w:val="00535A9B"/>
    <w:rsid w:val="00537231"/>
    <w:rsid w:val="00537517"/>
    <w:rsid w:val="0054198D"/>
    <w:rsid w:val="00542002"/>
    <w:rsid w:val="00543A56"/>
    <w:rsid w:val="00543B22"/>
    <w:rsid w:val="005457FE"/>
    <w:rsid w:val="005463F6"/>
    <w:rsid w:val="00547C3E"/>
    <w:rsid w:val="00550C39"/>
    <w:rsid w:val="00551007"/>
    <w:rsid w:val="00551494"/>
    <w:rsid w:val="00551A6D"/>
    <w:rsid w:val="00552C24"/>
    <w:rsid w:val="00552C6E"/>
    <w:rsid w:val="005548D4"/>
    <w:rsid w:val="00555C6E"/>
    <w:rsid w:val="00555C76"/>
    <w:rsid w:val="00555DC2"/>
    <w:rsid w:val="00555FAA"/>
    <w:rsid w:val="005579F1"/>
    <w:rsid w:val="00557CCF"/>
    <w:rsid w:val="00557E31"/>
    <w:rsid w:val="00557FA3"/>
    <w:rsid w:val="0056252A"/>
    <w:rsid w:val="0056298B"/>
    <w:rsid w:val="005631EF"/>
    <w:rsid w:val="00563C8F"/>
    <w:rsid w:val="005647CF"/>
    <w:rsid w:val="00566684"/>
    <w:rsid w:val="005676F0"/>
    <w:rsid w:val="00571EB4"/>
    <w:rsid w:val="005752C0"/>
    <w:rsid w:val="00575763"/>
    <w:rsid w:val="005763BA"/>
    <w:rsid w:val="00576DC9"/>
    <w:rsid w:val="00582014"/>
    <w:rsid w:val="00582037"/>
    <w:rsid w:val="0058213B"/>
    <w:rsid w:val="00582BC8"/>
    <w:rsid w:val="00582DC2"/>
    <w:rsid w:val="00583492"/>
    <w:rsid w:val="0058608D"/>
    <w:rsid w:val="00587258"/>
    <w:rsid w:val="005876E5"/>
    <w:rsid w:val="00587FB9"/>
    <w:rsid w:val="00590E82"/>
    <w:rsid w:val="005910B3"/>
    <w:rsid w:val="0059259F"/>
    <w:rsid w:val="00592931"/>
    <w:rsid w:val="005930C5"/>
    <w:rsid w:val="005930E6"/>
    <w:rsid w:val="00594565"/>
    <w:rsid w:val="005948B8"/>
    <w:rsid w:val="00596852"/>
    <w:rsid w:val="00597C4D"/>
    <w:rsid w:val="00597EB0"/>
    <w:rsid w:val="005A03EE"/>
    <w:rsid w:val="005A062A"/>
    <w:rsid w:val="005A1CE3"/>
    <w:rsid w:val="005A2EC3"/>
    <w:rsid w:val="005A3180"/>
    <w:rsid w:val="005A3F40"/>
    <w:rsid w:val="005A4012"/>
    <w:rsid w:val="005A48F2"/>
    <w:rsid w:val="005A4AB1"/>
    <w:rsid w:val="005A6C16"/>
    <w:rsid w:val="005A791F"/>
    <w:rsid w:val="005A7D18"/>
    <w:rsid w:val="005B0217"/>
    <w:rsid w:val="005B1267"/>
    <w:rsid w:val="005B1974"/>
    <w:rsid w:val="005B1F9B"/>
    <w:rsid w:val="005B2431"/>
    <w:rsid w:val="005B3C4C"/>
    <w:rsid w:val="005B6C65"/>
    <w:rsid w:val="005B7156"/>
    <w:rsid w:val="005B7B4F"/>
    <w:rsid w:val="005C1DBE"/>
    <w:rsid w:val="005C2B71"/>
    <w:rsid w:val="005C2CFE"/>
    <w:rsid w:val="005C442B"/>
    <w:rsid w:val="005C6761"/>
    <w:rsid w:val="005C683D"/>
    <w:rsid w:val="005D01A9"/>
    <w:rsid w:val="005D0354"/>
    <w:rsid w:val="005D0D58"/>
    <w:rsid w:val="005D0E03"/>
    <w:rsid w:val="005D1434"/>
    <w:rsid w:val="005D1C7F"/>
    <w:rsid w:val="005D2A44"/>
    <w:rsid w:val="005D45E5"/>
    <w:rsid w:val="005D580B"/>
    <w:rsid w:val="005D7069"/>
    <w:rsid w:val="005D77C5"/>
    <w:rsid w:val="005E14E7"/>
    <w:rsid w:val="005E16FA"/>
    <w:rsid w:val="005E3F8D"/>
    <w:rsid w:val="005E42F6"/>
    <w:rsid w:val="005E4453"/>
    <w:rsid w:val="005E4CE0"/>
    <w:rsid w:val="005E4F3B"/>
    <w:rsid w:val="005E52B9"/>
    <w:rsid w:val="005E5854"/>
    <w:rsid w:val="005E5AB3"/>
    <w:rsid w:val="005E5F49"/>
    <w:rsid w:val="005E73FA"/>
    <w:rsid w:val="005E7D99"/>
    <w:rsid w:val="005E7E65"/>
    <w:rsid w:val="005F0799"/>
    <w:rsid w:val="005F2344"/>
    <w:rsid w:val="005F3EFA"/>
    <w:rsid w:val="005F5942"/>
    <w:rsid w:val="005F7535"/>
    <w:rsid w:val="005F75E4"/>
    <w:rsid w:val="006009AD"/>
    <w:rsid w:val="00600E9D"/>
    <w:rsid w:val="00602792"/>
    <w:rsid w:val="0060333D"/>
    <w:rsid w:val="006033F0"/>
    <w:rsid w:val="00603B58"/>
    <w:rsid w:val="006040C1"/>
    <w:rsid w:val="0060411E"/>
    <w:rsid w:val="00604781"/>
    <w:rsid w:val="00604871"/>
    <w:rsid w:val="0060691B"/>
    <w:rsid w:val="006078A6"/>
    <w:rsid w:val="00610F13"/>
    <w:rsid w:val="006114BF"/>
    <w:rsid w:val="0061310D"/>
    <w:rsid w:val="006140F9"/>
    <w:rsid w:val="0061448F"/>
    <w:rsid w:val="00614F6E"/>
    <w:rsid w:val="0061616C"/>
    <w:rsid w:val="00616ED1"/>
    <w:rsid w:val="00616F6B"/>
    <w:rsid w:val="00620E7E"/>
    <w:rsid w:val="00620EB5"/>
    <w:rsid w:val="00627FA0"/>
    <w:rsid w:val="00634113"/>
    <w:rsid w:val="0063500D"/>
    <w:rsid w:val="00635061"/>
    <w:rsid w:val="00635148"/>
    <w:rsid w:val="00636041"/>
    <w:rsid w:val="006361A6"/>
    <w:rsid w:val="00636DC6"/>
    <w:rsid w:val="00636E23"/>
    <w:rsid w:val="0063751A"/>
    <w:rsid w:val="00640AEB"/>
    <w:rsid w:val="00645EF9"/>
    <w:rsid w:val="00646CB4"/>
    <w:rsid w:val="0064749E"/>
    <w:rsid w:val="0065633E"/>
    <w:rsid w:val="00657123"/>
    <w:rsid w:val="006573E8"/>
    <w:rsid w:val="0066187E"/>
    <w:rsid w:val="00661E61"/>
    <w:rsid w:val="00665403"/>
    <w:rsid w:val="0066567C"/>
    <w:rsid w:val="006659A1"/>
    <w:rsid w:val="00673092"/>
    <w:rsid w:val="00674638"/>
    <w:rsid w:val="00674A66"/>
    <w:rsid w:val="00675926"/>
    <w:rsid w:val="00675B88"/>
    <w:rsid w:val="006760CD"/>
    <w:rsid w:val="00680FCB"/>
    <w:rsid w:val="0068274E"/>
    <w:rsid w:val="00682ECB"/>
    <w:rsid w:val="006833F4"/>
    <w:rsid w:val="006853A3"/>
    <w:rsid w:val="00685609"/>
    <w:rsid w:val="006865C8"/>
    <w:rsid w:val="006903E3"/>
    <w:rsid w:val="0069108D"/>
    <w:rsid w:val="006922B2"/>
    <w:rsid w:val="00692756"/>
    <w:rsid w:val="00693B50"/>
    <w:rsid w:val="006963BB"/>
    <w:rsid w:val="006969FD"/>
    <w:rsid w:val="00697C9C"/>
    <w:rsid w:val="006A0321"/>
    <w:rsid w:val="006A0E54"/>
    <w:rsid w:val="006A128F"/>
    <w:rsid w:val="006A20FA"/>
    <w:rsid w:val="006A2686"/>
    <w:rsid w:val="006A41BA"/>
    <w:rsid w:val="006A44C7"/>
    <w:rsid w:val="006A4624"/>
    <w:rsid w:val="006A5324"/>
    <w:rsid w:val="006A62C5"/>
    <w:rsid w:val="006A6E28"/>
    <w:rsid w:val="006A7B75"/>
    <w:rsid w:val="006B0A4C"/>
    <w:rsid w:val="006B0E1F"/>
    <w:rsid w:val="006B1830"/>
    <w:rsid w:val="006B1A47"/>
    <w:rsid w:val="006B2E07"/>
    <w:rsid w:val="006B3488"/>
    <w:rsid w:val="006B35F0"/>
    <w:rsid w:val="006B44D0"/>
    <w:rsid w:val="006B4CE1"/>
    <w:rsid w:val="006C0279"/>
    <w:rsid w:val="006C3F11"/>
    <w:rsid w:val="006C5545"/>
    <w:rsid w:val="006C6F78"/>
    <w:rsid w:val="006C7926"/>
    <w:rsid w:val="006C7991"/>
    <w:rsid w:val="006D204D"/>
    <w:rsid w:val="006D2587"/>
    <w:rsid w:val="006D29C2"/>
    <w:rsid w:val="006D6889"/>
    <w:rsid w:val="006D76FE"/>
    <w:rsid w:val="006E2A21"/>
    <w:rsid w:val="006E2F51"/>
    <w:rsid w:val="006E3419"/>
    <w:rsid w:val="006E4411"/>
    <w:rsid w:val="006E47A8"/>
    <w:rsid w:val="006E6B22"/>
    <w:rsid w:val="006E75B0"/>
    <w:rsid w:val="006F03ED"/>
    <w:rsid w:val="006F07C4"/>
    <w:rsid w:val="006F0DF1"/>
    <w:rsid w:val="006F12A7"/>
    <w:rsid w:val="006F37AC"/>
    <w:rsid w:val="006F45CA"/>
    <w:rsid w:val="006F577C"/>
    <w:rsid w:val="006F6ACD"/>
    <w:rsid w:val="006F6BC9"/>
    <w:rsid w:val="006F7947"/>
    <w:rsid w:val="0070002F"/>
    <w:rsid w:val="0070010D"/>
    <w:rsid w:val="00702347"/>
    <w:rsid w:val="007046CE"/>
    <w:rsid w:val="00704D8A"/>
    <w:rsid w:val="00705999"/>
    <w:rsid w:val="00705DE9"/>
    <w:rsid w:val="00706256"/>
    <w:rsid w:val="00706C80"/>
    <w:rsid w:val="00711379"/>
    <w:rsid w:val="0071183A"/>
    <w:rsid w:val="00713620"/>
    <w:rsid w:val="007142A1"/>
    <w:rsid w:val="007148C7"/>
    <w:rsid w:val="00715949"/>
    <w:rsid w:val="007205DD"/>
    <w:rsid w:val="00720895"/>
    <w:rsid w:val="00721533"/>
    <w:rsid w:val="00721ECD"/>
    <w:rsid w:val="007221CA"/>
    <w:rsid w:val="007238E9"/>
    <w:rsid w:val="00724863"/>
    <w:rsid w:val="00726F5B"/>
    <w:rsid w:val="007272B3"/>
    <w:rsid w:val="007303B4"/>
    <w:rsid w:val="00731257"/>
    <w:rsid w:val="00731B17"/>
    <w:rsid w:val="00731CBD"/>
    <w:rsid w:val="00731FBA"/>
    <w:rsid w:val="0073420D"/>
    <w:rsid w:val="00734274"/>
    <w:rsid w:val="00734D09"/>
    <w:rsid w:val="00735E9B"/>
    <w:rsid w:val="00737A5E"/>
    <w:rsid w:val="0074049E"/>
    <w:rsid w:val="00743E18"/>
    <w:rsid w:val="00743FC0"/>
    <w:rsid w:val="007454E5"/>
    <w:rsid w:val="0074565B"/>
    <w:rsid w:val="00745C1F"/>
    <w:rsid w:val="00745D0B"/>
    <w:rsid w:val="00745E89"/>
    <w:rsid w:val="007469CE"/>
    <w:rsid w:val="00746ED4"/>
    <w:rsid w:val="00747542"/>
    <w:rsid w:val="00747A51"/>
    <w:rsid w:val="00747B84"/>
    <w:rsid w:val="007510B1"/>
    <w:rsid w:val="0075195F"/>
    <w:rsid w:val="00751EF4"/>
    <w:rsid w:val="00751F0D"/>
    <w:rsid w:val="00752FC8"/>
    <w:rsid w:val="00756E06"/>
    <w:rsid w:val="0075706E"/>
    <w:rsid w:val="00761D4D"/>
    <w:rsid w:val="00762348"/>
    <w:rsid w:val="00762EC8"/>
    <w:rsid w:val="00763C88"/>
    <w:rsid w:val="007648F2"/>
    <w:rsid w:val="0076529C"/>
    <w:rsid w:val="00765ED4"/>
    <w:rsid w:val="007660B4"/>
    <w:rsid w:val="007667F1"/>
    <w:rsid w:val="00767608"/>
    <w:rsid w:val="007676A2"/>
    <w:rsid w:val="007678DD"/>
    <w:rsid w:val="0077022B"/>
    <w:rsid w:val="00770A9E"/>
    <w:rsid w:val="00772C81"/>
    <w:rsid w:val="00774C3B"/>
    <w:rsid w:val="00775871"/>
    <w:rsid w:val="00775E1C"/>
    <w:rsid w:val="00776501"/>
    <w:rsid w:val="007765EE"/>
    <w:rsid w:val="007771B0"/>
    <w:rsid w:val="0078003D"/>
    <w:rsid w:val="00780DCC"/>
    <w:rsid w:val="00781523"/>
    <w:rsid w:val="00781539"/>
    <w:rsid w:val="00782391"/>
    <w:rsid w:val="00782C2F"/>
    <w:rsid w:val="007839D6"/>
    <w:rsid w:val="00787085"/>
    <w:rsid w:val="00787F9D"/>
    <w:rsid w:val="007910CE"/>
    <w:rsid w:val="007914A1"/>
    <w:rsid w:val="007924C0"/>
    <w:rsid w:val="007935DC"/>
    <w:rsid w:val="00794ABB"/>
    <w:rsid w:val="00795892"/>
    <w:rsid w:val="00796FC2"/>
    <w:rsid w:val="007976D5"/>
    <w:rsid w:val="007A0058"/>
    <w:rsid w:val="007A06F1"/>
    <w:rsid w:val="007A1497"/>
    <w:rsid w:val="007A253A"/>
    <w:rsid w:val="007A2DD7"/>
    <w:rsid w:val="007A376D"/>
    <w:rsid w:val="007A3F91"/>
    <w:rsid w:val="007A4865"/>
    <w:rsid w:val="007A4E34"/>
    <w:rsid w:val="007A504D"/>
    <w:rsid w:val="007A5917"/>
    <w:rsid w:val="007A5B7F"/>
    <w:rsid w:val="007A5FCC"/>
    <w:rsid w:val="007A7DF9"/>
    <w:rsid w:val="007B1AE1"/>
    <w:rsid w:val="007B1D39"/>
    <w:rsid w:val="007B1F01"/>
    <w:rsid w:val="007B2C10"/>
    <w:rsid w:val="007B328A"/>
    <w:rsid w:val="007B4061"/>
    <w:rsid w:val="007B51CA"/>
    <w:rsid w:val="007B6A81"/>
    <w:rsid w:val="007C0365"/>
    <w:rsid w:val="007C0503"/>
    <w:rsid w:val="007C0F72"/>
    <w:rsid w:val="007C13FB"/>
    <w:rsid w:val="007C17F9"/>
    <w:rsid w:val="007C2239"/>
    <w:rsid w:val="007C3856"/>
    <w:rsid w:val="007C4954"/>
    <w:rsid w:val="007C4EDE"/>
    <w:rsid w:val="007C5585"/>
    <w:rsid w:val="007C65E3"/>
    <w:rsid w:val="007C7356"/>
    <w:rsid w:val="007D0766"/>
    <w:rsid w:val="007D1537"/>
    <w:rsid w:val="007D1F94"/>
    <w:rsid w:val="007D236E"/>
    <w:rsid w:val="007D2A4D"/>
    <w:rsid w:val="007D7EBD"/>
    <w:rsid w:val="007E05B4"/>
    <w:rsid w:val="007E1EA3"/>
    <w:rsid w:val="007E1F28"/>
    <w:rsid w:val="007E3D97"/>
    <w:rsid w:val="007E452E"/>
    <w:rsid w:val="007E484F"/>
    <w:rsid w:val="007E4DD1"/>
    <w:rsid w:val="007E6CEE"/>
    <w:rsid w:val="007E7144"/>
    <w:rsid w:val="007F13E6"/>
    <w:rsid w:val="007F1813"/>
    <w:rsid w:val="007F5419"/>
    <w:rsid w:val="007F54F9"/>
    <w:rsid w:val="007F6C16"/>
    <w:rsid w:val="008006C9"/>
    <w:rsid w:val="008007A2"/>
    <w:rsid w:val="00800F67"/>
    <w:rsid w:val="00801944"/>
    <w:rsid w:val="00801F7C"/>
    <w:rsid w:val="00802CFA"/>
    <w:rsid w:val="00802FF7"/>
    <w:rsid w:val="00804A5C"/>
    <w:rsid w:val="00810A9D"/>
    <w:rsid w:val="008124C5"/>
    <w:rsid w:val="008127A2"/>
    <w:rsid w:val="00812C0E"/>
    <w:rsid w:val="00815A8E"/>
    <w:rsid w:val="00815E17"/>
    <w:rsid w:val="00817A4C"/>
    <w:rsid w:val="0082071F"/>
    <w:rsid w:val="008210A4"/>
    <w:rsid w:val="008214DF"/>
    <w:rsid w:val="00822879"/>
    <w:rsid w:val="00826F42"/>
    <w:rsid w:val="008276E9"/>
    <w:rsid w:val="00827D75"/>
    <w:rsid w:val="00832AEC"/>
    <w:rsid w:val="008337B8"/>
    <w:rsid w:val="00833D61"/>
    <w:rsid w:val="00834205"/>
    <w:rsid w:val="008345DC"/>
    <w:rsid w:val="0083499E"/>
    <w:rsid w:val="0083644E"/>
    <w:rsid w:val="00836877"/>
    <w:rsid w:val="00840F3E"/>
    <w:rsid w:val="008420AD"/>
    <w:rsid w:val="008422D8"/>
    <w:rsid w:val="008435F0"/>
    <w:rsid w:val="00844AD4"/>
    <w:rsid w:val="00844B9E"/>
    <w:rsid w:val="00844B9F"/>
    <w:rsid w:val="008536F1"/>
    <w:rsid w:val="00856515"/>
    <w:rsid w:val="00856A10"/>
    <w:rsid w:val="00856AD8"/>
    <w:rsid w:val="00856BF4"/>
    <w:rsid w:val="008573B1"/>
    <w:rsid w:val="00857D4E"/>
    <w:rsid w:val="0086262A"/>
    <w:rsid w:val="00864A94"/>
    <w:rsid w:val="00865398"/>
    <w:rsid w:val="00865A31"/>
    <w:rsid w:val="00865E52"/>
    <w:rsid w:val="00866D69"/>
    <w:rsid w:val="00866E7E"/>
    <w:rsid w:val="00871729"/>
    <w:rsid w:val="00872D16"/>
    <w:rsid w:val="008747CB"/>
    <w:rsid w:val="00876CCA"/>
    <w:rsid w:val="00877C90"/>
    <w:rsid w:val="008811FD"/>
    <w:rsid w:val="00881243"/>
    <w:rsid w:val="008823A7"/>
    <w:rsid w:val="0088428B"/>
    <w:rsid w:val="00885011"/>
    <w:rsid w:val="008859AC"/>
    <w:rsid w:val="0088633D"/>
    <w:rsid w:val="00891E5F"/>
    <w:rsid w:val="008930C3"/>
    <w:rsid w:val="0089323F"/>
    <w:rsid w:val="008941D8"/>
    <w:rsid w:val="0089581F"/>
    <w:rsid w:val="00895C9E"/>
    <w:rsid w:val="008A012E"/>
    <w:rsid w:val="008A0756"/>
    <w:rsid w:val="008A0C4E"/>
    <w:rsid w:val="008A0DCB"/>
    <w:rsid w:val="008A24D4"/>
    <w:rsid w:val="008A25A7"/>
    <w:rsid w:val="008A2C14"/>
    <w:rsid w:val="008A59A2"/>
    <w:rsid w:val="008A783A"/>
    <w:rsid w:val="008B0505"/>
    <w:rsid w:val="008B33C1"/>
    <w:rsid w:val="008B3B75"/>
    <w:rsid w:val="008B4F3D"/>
    <w:rsid w:val="008B6510"/>
    <w:rsid w:val="008B7983"/>
    <w:rsid w:val="008B7D3C"/>
    <w:rsid w:val="008C0B10"/>
    <w:rsid w:val="008C2573"/>
    <w:rsid w:val="008C29A0"/>
    <w:rsid w:val="008C2C4A"/>
    <w:rsid w:val="008C3A69"/>
    <w:rsid w:val="008C3C5E"/>
    <w:rsid w:val="008C3E1C"/>
    <w:rsid w:val="008C4002"/>
    <w:rsid w:val="008C4024"/>
    <w:rsid w:val="008C5937"/>
    <w:rsid w:val="008C6756"/>
    <w:rsid w:val="008C6B03"/>
    <w:rsid w:val="008C6F0C"/>
    <w:rsid w:val="008D1228"/>
    <w:rsid w:val="008D1565"/>
    <w:rsid w:val="008D16D1"/>
    <w:rsid w:val="008D1DC0"/>
    <w:rsid w:val="008D272D"/>
    <w:rsid w:val="008D2E9B"/>
    <w:rsid w:val="008D47B9"/>
    <w:rsid w:val="008D5DEE"/>
    <w:rsid w:val="008D66A7"/>
    <w:rsid w:val="008E12FB"/>
    <w:rsid w:val="008E1565"/>
    <w:rsid w:val="008E3556"/>
    <w:rsid w:val="008E3D34"/>
    <w:rsid w:val="008E491B"/>
    <w:rsid w:val="008E5285"/>
    <w:rsid w:val="008E60CB"/>
    <w:rsid w:val="008E74DB"/>
    <w:rsid w:val="008F3D29"/>
    <w:rsid w:val="008F3FEA"/>
    <w:rsid w:val="008F589C"/>
    <w:rsid w:val="008F656C"/>
    <w:rsid w:val="00903395"/>
    <w:rsid w:val="009036CD"/>
    <w:rsid w:val="00903749"/>
    <w:rsid w:val="0090400E"/>
    <w:rsid w:val="00905A2C"/>
    <w:rsid w:val="00905BF5"/>
    <w:rsid w:val="00911539"/>
    <w:rsid w:val="009116CF"/>
    <w:rsid w:val="00912CCC"/>
    <w:rsid w:val="009139EE"/>
    <w:rsid w:val="00915338"/>
    <w:rsid w:val="00915C52"/>
    <w:rsid w:val="009178A3"/>
    <w:rsid w:val="00920B13"/>
    <w:rsid w:val="00920E8D"/>
    <w:rsid w:val="009217D5"/>
    <w:rsid w:val="0092256B"/>
    <w:rsid w:val="009234F5"/>
    <w:rsid w:val="0092484B"/>
    <w:rsid w:val="009264A5"/>
    <w:rsid w:val="0092680A"/>
    <w:rsid w:val="009303C8"/>
    <w:rsid w:val="009310A7"/>
    <w:rsid w:val="009310C9"/>
    <w:rsid w:val="00931E4A"/>
    <w:rsid w:val="0093221C"/>
    <w:rsid w:val="00932E11"/>
    <w:rsid w:val="00933186"/>
    <w:rsid w:val="00933477"/>
    <w:rsid w:val="0093388F"/>
    <w:rsid w:val="009347C0"/>
    <w:rsid w:val="00934BEF"/>
    <w:rsid w:val="00935B55"/>
    <w:rsid w:val="00935D13"/>
    <w:rsid w:val="00936C3A"/>
    <w:rsid w:val="00941170"/>
    <w:rsid w:val="00942AF6"/>
    <w:rsid w:val="00945076"/>
    <w:rsid w:val="00945BCB"/>
    <w:rsid w:val="00946693"/>
    <w:rsid w:val="00946C87"/>
    <w:rsid w:val="00946E4F"/>
    <w:rsid w:val="0095135C"/>
    <w:rsid w:val="0095196D"/>
    <w:rsid w:val="00951988"/>
    <w:rsid w:val="009543B7"/>
    <w:rsid w:val="00954C74"/>
    <w:rsid w:val="00954F4C"/>
    <w:rsid w:val="009562DF"/>
    <w:rsid w:val="00956D13"/>
    <w:rsid w:val="009579A0"/>
    <w:rsid w:val="00957E86"/>
    <w:rsid w:val="0096055E"/>
    <w:rsid w:val="00960EF2"/>
    <w:rsid w:val="00961067"/>
    <w:rsid w:val="00961D72"/>
    <w:rsid w:val="00962FC9"/>
    <w:rsid w:val="009641A1"/>
    <w:rsid w:val="00964941"/>
    <w:rsid w:val="0096519F"/>
    <w:rsid w:val="00966229"/>
    <w:rsid w:val="00966F54"/>
    <w:rsid w:val="009678F7"/>
    <w:rsid w:val="00970C3F"/>
    <w:rsid w:val="00974EBB"/>
    <w:rsid w:val="00976731"/>
    <w:rsid w:val="009773B6"/>
    <w:rsid w:val="0097777A"/>
    <w:rsid w:val="00982E15"/>
    <w:rsid w:val="009844AE"/>
    <w:rsid w:val="0098745B"/>
    <w:rsid w:val="00987B46"/>
    <w:rsid w:val="009902BB"/>
    <w:rsid w:val="00990FA4"/>
    <w:rsid w:val="00992991"/>
    <w:rsid w:val="00993333"/>
    <w:rsid w:val="00993590"/>
    <w:rsid w:val="00995F61"/>
    <w:rsid w:val="009966F1"/>
    <w:rsid w:val="00996C03"/>
    <w:rsid w:val="00997D1D"/>
    <w:rsid w:val="009A05CD"/>
    <w:rsid w:val="009A060C"/>
    <w:rsid w:val="009A0948"/>
    <w:rsid w:val="009A1041"/>
    <w:rsid w:val="009A16DA"/>
    <w:rsid w:val="009A1BA6"/>
    <w:rsid w:val="009A36E0"/>
    <w:rsid w:val="009A3DDA"/>
    <w:rsid w:val="009A4005"/>
    <w:rsid w:val="009A4289"/>
    <w:rsid w:val="009A4B31"/>
    <w:rsid w:val="009A5E00"/>
    <w:rsid w:val="009A6D1C"/>
    <w:rsid w:val="009A7670"/>
    <w:rsid w:val="009A7D16"/>
    <w:rsid w:val="009B1195"/>
    <w:rsid w:val="009B31BE"/>
    <w:rsid w:val="009B699F"/>
    <w:rsid w:val="009B76F6"/>
    <w:rsid w:val="009B7A53"/>
    <w:rsid w:val="009C1021"/>
    <w:rsid w:val="009C1B9D"/>
    <w:rsid w:val="009C3031"/>
    <w:rsid w:val="009C3396"/>
    <w:rsid w:val="009C3F35"/>
    <w:rsid w:val="009C50A3"/>
    <w:rsid w:val="009C5EF2"/>
    <w:rsid w:val="009C6714"/>
    <w:rsid w:val="009C6984"/>
    <w:rsid w:val="009C708D"/>
    <w:rsid w:val="009D3BEE"/>
    <w:rsid w:val="009D3BF8"/>
    <w:rsid w:val="009D3CA2"/>
    <w:rsid w:val="009D4DA1"/>
    <w:rsid w:val="009D7DF5"/>
    <w:rsid w:val="009E0086"/>
    <w:rsid w:val="009E0F11"/>
    <w:rsid w:val="009E12A9"/>
    <w:rsid w:val="009E1B88"/>
    <w:rsid w:val="009E370D"/>
    <w:rsid w:val="009E482E"/>
    <w:rsid w:val="009E4A7A"/>
    <w:rsid w:val="009E5809"/>
    <w:rsid w:val="009E669E"/>
    <w:rsid w:val="009E716A"/>
    <w:rsid w:val="009F0857"/>
    <w:rsid w:val="009F0A44"/>
    <w:rsid w:val="009F1646"/>
    <w:rsid w:val="009F2015"/>
    <w:rsid w:val="009F2DE4"/>
    <w:rsid w:val="009F3377"/>
    <w:rsid w:val="009F3C68"/>
    <w:rsid w:val="009F5600"/>
    <w:rsid w:val="009F5AA7"/>
    <w:rsid w:val="009F6379"/>
    <w:rsid w:val="00A0177F"/>
    <w:rsid w:val="00A0254F"/>
    <w:rsid w:val="00A026C5"/>
    <w:rsid w:val="00A02EE7"/>
    <w:rsid w:val="00A02FCD"/>
    <w:rsid w:val="00A03A5F"/>
    <w:rsid w:val="00A03D5A"/>
    <w:rsid w:val="00A04702"/>
    <w:rsid w:val="00A0511F"/>
    <w:rsid w:val="00A0535C"/>
    <w:rsid w:val="00A06770"/>
    <w:rsid w:val="00A06950"/>
    <w:rsid w:val="00A073A7"/>
    <w:rsid w:val="00A074A2"/>
    <w:rsid w:val="00A103B2"/>
    <w:rsid w:val="00A122D8"/>
    <w:rsid w:val="00A12BE7"/>
    <w:rsid w:val="00A12ECE"/>
    <w:rsid w:val="00A14135"/>
    <w:rsid w:val="00A17145"/>
    <w:rsid w:val="00A203C6"/>
    <w:rsid w:val="00A20A79"/>
    <w:rsid w:val="00A2156E"/>
    <w:rsid w:val="00A22378"/>
    <w:rsid w:val="00A2305F"/>
    <w:rsid w:val="00A230E4"/>
    <w:rsid w:val="00A237AC"/>
    <w:rsid w:val="00A23EA3"/>
    <w:rsid w:val="00A24572"/>
    <w:rsid w:val="00A246F4"/>
    <w:rsid w:val="00A25855"/>
    <w:rsid w:val="00A26EF7"/>
    <w:rsid w:val="00A2703F"/>
    <w:rsid w:val="00A30444"/>
    <w:rsid w:val="00A30610"/>
    <w:rsid w:val="00A316EB"/>
    <w:rsid w:val="00A323A5"/>
    <w:rsid w:val="00A32423"/>
    <w:rsid w:val="00A32C18"/>
    <w:rsid w:val="00A35C76"/>
    <w:rsid w:val="00A366B1"/>
    <w:rsid w:val="00A37823"/>
    <w:rsid w:val="00A40753"/>
    <w:rsid w:val="00A41784"/>
    <w:rsid w:val="00A419B5"/>
    <w:rsid w:val="00A427FA"/>
    <w:rsid w:val="00A45067"/>
    <w:rsid w:val="00A45779"/>
    <w:rsid w:val="00A467CB"/>
    <w:rsid w:val="00A51253"/>
    <w:rsid w:val="00A516D9"/>
    <w:rsid w:val="00A51B4B"/>
    <w:rsid w:val="00A523D1"/>
    <w:rsid w:val="00A52DA9"/>
    <w:rsid w:val="00A54EA0"/>
    <w:rsid w:val="00A55019"/>
    <w:rsid w:val="00A55237"/>
    <w:rsid w:val="00A56BD0"/>
    <w:rsid w:val="00A606CE"/>
    <w:rsid w:val="00A60CB2"/>
    <w:rsid w:val="00A60FF1"/>
    <w:rsid w:val="00A6249D"/>
    <w:rsid w:val="00A62C0C"/>
    <w:rsid w:val="00A64049"/>
    <w:rsid w:val="00A6536B"/>
    <w:rsid w:val="00A65B97"/>
    <w:rsid w:val="00A66745"/>
    <w:rsid w:val="00A67C36"/>
    <w:rsid w:val="00A718A6"/>
    <w:rsid w:val="00A71CC1"/>
    <w:rsid w:val="00A723B2"/>
    <w:rsid w:val="00A731A5"/>
    <w:rsid w:val="00A73F53"/>
    <w:rsid w:val="00A753A2"/>
    <w:rsid w:val="00A80F6D"/>
    <w:rsid w:val="00A81CC5"/>
    <w:rsid w:val="00A82092"/>
    <w:rsid w:val="00A82241"/>
    <w:rsid w:val="00A8321C"/>
    <w:rsid w:val="00A847F3"/>
    <w:rsid w:val="00A87B3F"/>
    <w:rsid w:val="00A87F0B"/>
    <w:rsid w:val="00A87F37"/>
    <w:rsid w:val="00A90390"/>
    <w:rsid w:val="00A909D3"/>
    <w:rsid w:val="00A91D69"/>
    <w:rsid w:val="00A94C70"/>
    <w:rsid w:val="00A94D57"/>
    <w:rsid w:val="00A95E3F"/>
    <w:rsid w:val="00A96930"/>
    <w:rsid w:val="00A96C62"/>
    <w:rsid w:val="00A97076"/>
    <w:rsid w:val="00A972E8"/>
    <w:rsid w:val="00A97972"/>
    <w:rsid w:val="00A97B4E"/>
    <w:rsid w:val="00A97F88"/>
    <w:rsid w:val="00AA0925"/>
    <w:rsid w:val="00AA1E57"/>
    <w:rsid w:val="00AA1F3D"/>
    <w:rsid w:val="00AA2852"/>
    <w:rsid w:val="00AA3409"/>
    <w:rsid w:val="00AA3923"/>
    <w:rsid w:val="00AA464D"/>
    <w:rsid w:val="00AA65A0"/>
    <w:rsid w:val="00AA6EE7"/>
    <w:rsid w:val="00AA71FD"/>
    <w:rsid w:val="00AA7F58"/>
    <w:rsid w:val="00AB0ACE"/>
    <w:rsid w:val="00AB12C2"/>
    <w:rsid w:val="00AB1393"/>
    <w:rsid w:val="00AB166C"/>
    <w:rsid w:val="00AB250E"/>
    <w:rsid w:val="00AB2C65"/>
    <w:rsid w:val="00AB3A3C"/>
    <w:rsid w:val="00AB4D0A"/>
    <w:rsid w:val="00AB520A"/>
    <w:rsid w:val="00AB5F38"/>
    <w:rsid w:val="00AB6284"/>
    <w:rsid w:val="00AB65F8"/>
    <w:rsid w:val="00AC0059"/>
    <w:rsid w:val="00AC1339"/>
    <w:rsid w:val="00AC4836"/>
    <w:rsid w:val="00AC61E8"/>
    <w:rsid w:val="00AC68C0"/>
    <w:rsid w:val="00AD06BD"/>
    <w:rsid w:val="00AD1CBF"/>
    <w:rsid w:val="00AD25A4"/>
    <w:rsid w:val="00AD3357"/>
    <w:rsid w:val="00AD5696"/>
    <w:rsid w:val="00AD67BC"/>
    <w:rsid w:val="00AD70A1"/>
    <w:rsid w:val="00AE1A15"/>
    <w:rsid w:val="00AE22F9"/>
    <w:rsid w:val="00AE405B"/>
    <w:rsid w:val="00AE4257"/>
    <w:rsid w:val="00AE45A0"/>
    <w:rsid w:val="00AE515A"/>
    <w:rsid w:val="00AE63A9"/>
    <w:rsid w:val="00AF196F"/>
    <w:rsid w:val="00AF1A34"/>
    <w:rsid w:val="00AF38A0"/>
    <w:rsid w:val="00AF47F7"/>
    <w:rsid w:val="00AF511A"/>
    <w:rsid w:val="00AF5EE0"/>
    <w:rsid w:val="00AF7019"/>
    <w:rsid w:val="00B01CB2"/>
    <w:rsid w:val="00B02FB8"/>
    <w:rsid w:val="00B0495F"/>
    <w:rsid w:val="00B0572F"/>
    <w:rsid w:val="00B057BD"/>
    <w:rsid w:val="00B05817"/>
    <w:rsid w:val="00B11391"/>
    <w:rsid w:val="00B118E3"/>
    <w:rsid w:val="00B12699"/>
    <w:rsid w:val="00B1281C"/>
    <w:rsid w:val="00B14BD3"/>
    <w:rsid w:val="00B1731B"/>
    <w:rsid w:val="00B20FCD"/>
    <w:rsid w:val="00B217D4"/>
    <w:rsid w:val="00B21827"/>
    <w:rsid w:val="00B21EDB"/>
    <w:rsid w:val="00B224E5"/>
    <w:rsid w:val="00B227FD"/>
    <w:rsid w:val="00B23516"/>
    <w:rsid w:val="00B235D0"/>
    <w:rsid w:val="00B246DD"/>
    <w:rsid w:val="00B25631"/>
    <w:rsid w:val="00B26B64"/>
    <w:rsid w:val="00B26CBE"/>
    <w:rsid w:val="00B27A5E"/>
    <w:rsid w:val="00B305AE"/>
    <w:rsid w:val="00B326EF"/>
    <w:rsid w:val="00B32CE3"/>
    <w:rsid w:val="00B3337C"/>
    <w:rsid w:val="00B34716"/>
    <w:rsid w:val="00B35614"/>
    <w:rsid w:val="00B36BF7"/>
    <w:rsid w:val="00B3736B"/>
    <w:rsid w:val="00B37F2B"/>
    <w:rsid w:val="00B40317"/>
    <w:rsid w:val="00B40AE2"/>
    <w:rsid w:val="00B40CB0"/>
    <w:rsid w:val="00B40CF7"/>
    <w:rsid w:val="00B40EBA"/>
    <w:rsid w:val="00B4263D"/>
    <w:rsid w:val="00B42D20"/>
    <w:rsid w:val="00B42F89"/>
    <w:rsid w:val="00B44080"/>
    <w:rsid w:val="00B4607B"/>
    <w:rsid w:val="00B5092A"/>
    <w:rsid w:val="00B51220"/>
    <w:rsid w:val="00B5156F"/>
    <w:rsid w:val="00B52FE1"/>
    <w:rsid w:val="00B542C3"/>
    <w:rsid w:val="00B54380"/>
    <w:rsid w:val="00B5469B"/>
    <w:rsid w:val="00B605BF"/>
    <w:rsid w:val="00B60F25"/>
    <w:rsid w:val="00B612F2"/>
    <w:rsid w:val="00B61333"/>
    <w:rsid w:val="00B62B2B"/>
    <w:rsid w:val="00B62D06"/>
    <w:rsid w:val="00B630FA"/>
    <w:rsid w:val="00B63A40"/>
    <w:rsid w:val="00B65C9B"/>
    <w:rsid w:val="00B65F0C"/>
    <w:rsid w:val="00B6625D"/>
    <w:rsid w:val="00B66704"/>
    <w:rsid w:val="00B66FE5"/>
    <w:rsid w:val="00B67015"/>
    <w:rsid w:val="00B67D61"/>
    <w:rsid w:val="00B7073A"/>
    <w:rsid w:val="00B70B02"/>
    <w:rsid w:val="00B7670F"/>
    <w:rsid w:val="00B7736C"/>
    <w:rsid w:val="00B77CDB"/>
    <w:rsid w:val="00B83F90"/>
    <w:rsid w:val="00B841BE"/>
    <w:rsid w:val="00B8521D"/>
    <w:rsid w:val="00B8575A"/>
    <w:rsid w:val="00B85AC6"/>
    <w:rsid w:val="00B90BD0"/>
    <w:rsid w:val="00B91469"/>
    <w:rsid w:val="00B92958"/>
    <w:rsid w:val="00B93861"/>
    <w:rsid w:val="00B94E2E"/>
    <w:rsid w:val="00B94E45"/>
    <w:rsid w:val="00B95DF1"/>
    <w:rsid w:val="00B96D3E"/>
    <w:rsid w:val="00BA2985"/>
    <w:rsid w:val="00BA3B5F"/>
    <w:rsid w:val="00BA3B70"/>
    <w:rsid w:val="00BA3DBE"/>
    <w:rsid w:val="00BA49B4"/>
    <w:rsid w:val="00BA4D34"/>
    <w:rsid w:val="00BA5E8D"/>
    <w:rsid w:val="00BA6147"/>
    <w:rsid w:val="00BB053B"/>
    <w:rsid w:val="00BB175C"/>
    <w:rsid w:val="00BB1DAE"/>
    <w:rsid w:val="00BB20A2"/>
    <w:rsid w:val="00BB2C62"/>
    <w:rsid w:val="00BB3F9B"/>
    <w:rsid w:val="00BB5AA2"/>
    <w:rsid w:val="00BB5BF1"/>
    <w:rsid w:val="00BB5EA3"/>
    <w:rsid w:val="00BC0319"/>
    <w:rsid w:val="00BC0686"/>
    <w:rsid w:val="00BC08DB"/>
    <w:rsid w:val="00BC1D22"/>
    <w:rsid w:val="00BC325B"/>
    <w:rsid w:val="00BC3538"/>
    <w:rsid w:val="00BC39A9"/>
    <w:rsid w:val="00BC425D"/>
    <w:rsid w:val="00BC4263"/>
    <w:rsid w:val="00BC6F3C"/>
    <w:rsid w:val="00BC6FE5"/>
    <w:rsid w:val="00BC71C7"/>
    <w:rsid w:val="00BC7340"/>
    <w:rsid w:val="00BC76E7"/>
    <w:rsid w:val="00BD0162"/>
    <w:rsid w:val="00BD0447"/>
    <w:rsid w:val="00BD420D"/>
    <w:rsid w:val="00BD56EB"/>
    <w:rsid w:val="00BD5B83"/>
    <w:rsid w:val="00BD70CF"/>
    <w:rsid w:val="00BE02F5"/>
    <w:rsid w:val="00BE2D83"/>
    <w:rsid w:val="00BE3860"/>
    <w:rsid w:val="00BE3B5F"/>
    <w:rsid w:val="00BE5667"/>
    <w:rsid w:val="00BE5C32"/>
    <w:rsid w:val="00BF04A1"/>
    <w:rsid w:val="00BF1203"/>
    <w:rsid w:val="00BF4ACB"/>
    <w:rsid w:val="00BF6489"/>
    <w:rsid w:val="00C00DF0"/>
    <w:rsid w:val="00C02C5C"/>
    <w:rsid w:val="00C02C9D"/>
    <w:rsid w:val="00C02D5A"/>
    <w:rsid w:val="00C04946"/>
    <w:rsid w:val="00C0562F"/>
    <w:rsid w:val="00C05E29"/>
    <w:rsid w:val="00C11173"/>
    <w:rsid w:val="00C11478"/>
    <w:rsid w:val="00C114DB"/>
    <w:rsid w:val="00C118E9"/>
    <w:rsid w:val="00C11A37"/>
    <w:rsid w:val="00C12C59"/>
    <w:rsid w:val="00C13025"/>
    <w:rsid w:val="00C13078"/>
    <w:rsid w:val="00C13615"/>
    <w:rsid w:val="00C1427D"/>
    <w:rsid w:val="00C145D2"/>
    <w:rsid w:val="00C14D93"/>
    <w:rsid w:val="00C1651A"/>
    <w:rsid w:val="00C167A1"/>
    <w:rsid w:val="00C174B4"/>
    <w:rsid w:val="00C1759E"/>
    <w:rsid w:val="00C20FD1"/>
    <w:rsid w:val="00C216F6"/>
    <w:rsid w:val="00C21AB3"/>
    <w:rsid w:val="00C21BFA"/>
    <w:rsid w:val="00C22BC3"/>
    <w:rsid w:val="00C22FB3"/>
    <w:rsid w:val="00C24777"/>
    <w:rsid w:val="00C24991"/>
    <w:rsid w:val="00C24F18"/>
    <w:rsid w:val="00C27E29"/>
    <w:rsid w:val="00C30371"/>
    <w:rsid w:val="00C30853"/>
    <w:rsid w:val="00C30CDD"/>
    <w:rsid w:val="00C32B08"/>
    <w:rsid w:val="00C32B69"/>
    <w:rsid w:val="00C32E35"/>
    <w:rsid w:val="00C344DB"/>
    <w:rsid w:val="00C348CD"/>
    <w:rsid w:val="00C40818"/>
    <w:rsid w:val="00C4321D"/>
    <w:rsid w:val="00C44665"/>
    <w:rsid w:val="00C46265"/>
    <w:rsid w:val="00C47896"/>
    <w:rsid w:val="00C47ED8"/>
    <w:rsid w:val="00C50850"/>
    <w:rsid w:val="00C519F4"/>
    <w:rsid w:val="00C521C8"/>
    <w:rsid w:val="00C52ABD"/>
    <w:rsid w:val="00C53630"/>
    <w:rsid w:val="00C537A1"/>
    <w:rsid w:val="00C53B8B"/>
    <w:rsid w:val="00C54A73"/>
    <w:rsid w:val="00C54C0F"/>
    <w:rsid w:val="00C5535D"/>
    <w:rsid w:val="00C55F29"/>
    <w:rsid w:val="00C573E3"/>
    <w:rsid w:val="00C5789B"/>
    <w:rsid w:val="00C619DD"/>
    <w:rsid w:val="00C61C39"/>
    <w:rsid w:val="00C61EB0"/>
    <w:rsid w:val="00C62FC0"/>
    <w:rsid w:val="00C63082"/>
    <w:rsid w:val="00C649AB"/>
    <w:rsid w:val="00C65361"/>
    <w:rsid w:val="00C653BF"/>
    <w:rsid w:val="00C654E2"/>
    <w:rsid w:val="00C65A18"/>
    <w:rsid w:val="00C65C6C"/>
    <w:rsid w:val="00C6630C"/>
    <w:rsid w:val="00C66A7C"/>
    <w:rsid w:val="00C66B84"/>
    <w:rsid w:val="00C66B8C"/>
    <w:rsid w:val="00C704D3"/>
    <w:rsid w:val="00C714F4"/>
    <w:rsid w:val="00C71DAC"/>
    <w:rsid w:val="00C72043"/>
    <w:rsid w:val="00C7274D"/>
    <w:rsid w:val="00C7777A"/>
    <w:rsid w:val="00C800A9"/>
    <w:rsid w:val="00C806F9"/>
    <w:rsid w:val="00C81EEE"/>
    <w:rsid w:val="00C82F84"/>
    <w:rsid w:val="00C8326B"/>
    <w:rsid w:val="00C84883"/>
    <w:rsid w:val="00C84E3C"/>
    <w:rsid w:val="00C851C2"/>
    <w:rsid w:val="00C871AF"/>
    <w:rsid w:val="00C90A86"/>
    <w:rsid w:val="00C93712"/>
    <w:rsid w:val="00C94C4A"/>
    <w:rsid w:val="00C95B43"/>
    <w:rsid w:val="00C95D76"/>
    <w:rsid w:val="00C965B4"/>
    <w:rsid w:val="00C96BC2"/>
    <w:rsid w:val="00C9766A"/>
    <w:rsid w:val="00CA0F10"/>
    <w:rsid w:val="00CA4EA7"/>
    <w:rsid w:val="00CA697D"/>
    <w:rsid w:val="00CB121C"/>
    <w:rsid w:val="00CB1FFA"/>
    <w:rsid w:val="00CB24BA"/>
    <w:rsid w:val="00CB447E"/>
    <w:rsid w:val="00CB4AEB"/>
    <w:rsid w:val="00CB5B7B"/>
    <w:rsid w:val="00CC189D"/>
    <w:rsid w:val="00CC1A1D"/>
    <w:rsid w:val="00CC1B5A"/>
    <w:rsid w:val="00CC2833"/>
    <w:rsid w:val="00CC3B4F"/>
    <w:rsid w:val="00CC4B92"/>
    <w:rsid w:val="00CC5119"/>
    <w:rsid w:val="00CC64F3"/>
    <w:rsid w:val="00CC6C06"/>
    <w:rsid w:val="00CC74F1"/>
    <w:rsid w:val="00CC7F1C"/>
    <w:rsid w:val="00CD0DC1"/>
    <w:rsid w:val="00CD1F58"/>
    <w:rsid w:val="00CD3793"/>
    <w:rsid w:val="00CD4BB7"/>
    <w:rsid w:val="00CD53B6"/>
    <w:rsid w:val="00CD55E3"/>
    <w:rsid w:val="00CD57F2"/>
    <w:rsid w:val="00CD621B"/>
    <w:rsid w:val="00CD7071"/>
    <w:rsid w:val="00CD7B20"/>
    <w:rsid w:val="00CE2661"/>
    <w:rsid w:val="00CE2C56"/>
    <w:rsid w:val="00CE3646"/>
    <w:rsid w:val="00CE6137"/>
    <w:rsid w:val="00CE7B4C"/>
    <w:rsid w:val="00CF0BEF"/>
    <w:rsid w:val="00CF0D43"/>
    <w:rsid w:val="00CF13E7"/>
    <w:rsid w:val="00CF324E"/>
    <w:rsid w:val="00CF33EA"/>
    <w:rsid w:val="00CF506D"/>
    <w:rsid w:val="00CF5357"/>
    <w:rsid w:val="00CF5B2F"/>
    <w:rsid w:val="00D00834"/>
    <w:rsid w:val="00D01A25"/>
    <w:rsid w:val="00D01BF4"/>
    <w:rsid w:val="00D01CF5"/>
    <w:rsid w:val="00D02B1D"/>
    <w:rsid w:val="00D039CC"/>
    <w:rsid w:val="00D046EE"/>
    <w:rsid w:val="00D061BA"/>
    <w:rsid w:val="00D069E5"/>
    <w:rsid w:val="00D071B5"/>
    <w:rsid w:val="00D07FEA"/>
    <w:rsid w:val="00D10CF7"/>
    <w:rsid w:val="00D11874"/>
    <w:rsid w:val="00D11A28"/>
    <w:rsid w:val="00D132A2"/>
    <w:rsid w:val="00D14B1C"/>
    <w:rsid w:val="00D15A7D"/>
    <w:rsid w:val="00D15CCB"/>
    <w:rsid w:val="00D20908"/>
    <w:rsid w:val="00D20DBA"/>
    <w:rsid w:val="00D21BE5"/>
    <w:rsid w:val="00D23AB1"/>
    <w:rsid w:val="00D23D9B"/>
    <w:rsid w:val="00D2595B"/>
    <w:rsid w:val="00D270B9"/>
    <w:rsid w:val="00D277C5"/>
    <w:rsid w:val="00D3040D"/>
    <w:rsid w:val="00D3056F"/>
    <w:rsid w:val="00D32A3C"/>
    <w:rsid w:val="00D355E9"/>
    <w:rsid w:val="00D36237"/>
    <w:rsid w:val="00D3758E"/>
    <w:rsid w:val="00D37C86"/>
    <w:rsid w:val="00D41BF8"/>
    <w:rsid w:val="00D42758"/>
    <w:rsid w:val="00D443B2"/>
    <w:rsid w:val="00D45D48"/>
    <w:rsid w:val="00D46E48"/>
    <w:rsid w:val="00D47BB0"/>
    <w:rsid w:val="00D502D9"/>
    <w:rsid w:val="00D5643E"/>
    <w:rsid w:val="00D56510"/>
    <w:rsid w:val="00D57658"/>
    <w:rsid w:val="00D57F22"/>
    <w:rsid w:val="00D622A2"/>
    <w:rsid w:val="00D622EF"/>
    <w:rsid w:val="00D62C8C"/>
    <w:rsid w:val="00D63253"/>
    <w:rsid w:val="00D633AC"/>
    <w:rsid w:val="00D63432"/>
    <w:rsid w:val="00D643D5"/>
    <w:rsid w:val="00D66F31"/>
    <w:rsid w:val="00D679AD"/>
    <w:rsid w:val="00D67C80"/>
    <w:rsid w:val="00D7116C"/>
    <w:rsid w:val="00D7138D"/>
    <w:rsid w:val="00D71DC1"/>
    <w:rsid w:val="00D720A3"/>
    <w:rsid w:val="00D735EB"/>
    <w:rsid w:val="00D73AA5"/>
    <w:rsid w:val="00D740B1"/>
    <w:rsid w:val="00D75350"/>
    <w:rsid w:val="00D7587F"/>
    <w:rsid w:val="00D75B4D"/>
    <w:rsid w:val="00D802C8"/>
    <w:rsid w:val="00D81419"/>
    <w:rsid w:val="00D82438"/>
    <w:rsid w:val="00D83F09"/>
    <w:rsid w:val="00D857B8"/>
    <w:rsid w:val="00D8645B"/>
    <w:rsid w:val="00D870A5"/>
    <w:rsid w:val="00D87AD3"/>
    <w:rsid w:val="00D90FA8"/>
    <w:rsid w:val="00D916A9"/>
    <w:rsid w:val="00D93762"/>
    <w:rsid w:val="00D95BD1"/>
    <w:rsid w:val="00D97105"/>
    <w:rsid w:val="00D97CD4"/>
    <w:rsid w:val="00D97F0C"/>
    <w:rsid w:val="00DA00DE"/>
    <w:rsid w:val="00DA11EE"/>
    <w:rsid w:val="00DA15B6"/>
    <w:rsid w:val="00DA1C40"/>
    <w:rsid w:val="00DA31B2"/>
    <w:rsid w:val="00DA3CFE"/>
    <w:rsid w:val="00DA598C"/>
    <w:rsid w:val="00DA5B58"/>
    <w:rsid w:val="00DA6518"/>
    <w:rsid w:val="00DA6CA9"/>
    <w:rsid w:val="00DA7F56"/>
    <w:rsid w:val="00DA7FB9"/>
    <w:rsid w:val="00DB082B"/>
    <w:rsid w:val="00DB171F"/>
    <w:rsid w:val="00DB1F16"/>
    <w:rsid w:val="00DB312F"/>
    <w:rsid w:val="00DB33AD"/>
    <w:rsid w:val="00DB40E8"/>
    <w:rsid w:val="00DB45B0"/>
    <w:rsid w:val="00DB4DF6"/>
    <w:rsid w:val="00DB6CBA"/>
    <w:rsid w:val="00DC03E8"/>
    <w:rsid w:val="00DC04F0"/>
    <w:rsid w:val="00DC06A8"/>
    <w:rsid w:val="00DC08ED"/>
    <w:rsid w:val="00DC2284"/>
    <w:rsid w:val="00DC2C2B"/>
    <w:rsid w:val="00DC2E46"/>
    <w:rsid w:val="00DC3AB1"/>
    <w:rsid w:val="00DC3CFE"/>
    <w:rsid w:val="00DC4750"/>
    <w:rsid w:val="00DC75BB"/>
    <w:rsid w:val="00DD0F96"/>
    <w:rsid w:val="00DD1AF2"/>
    <w:rsid w:val="00DD1DCD"/>
    <w:rsid w:val="00DD2687"/>
    <w:rsid w:val="00DD2DF5"/>
    <w:rsid w:val="00DD2F99"/>
    <w:rsid w:val="00DD361B"/>
    <w:rsid w:val="00DD4F52"/>
    <w:rsid w:val="00DD509A"/>
    <w:rsid w:val="00DD602B"/>
    <w:rsid w:val="00DD7F22"/>
    <w:rsid w:val="00DE0862"/>
    <w:rsid w:val="00DE32CF"/>
    <w:rsid w:val="00DE3E6A"/>
    <w:rsid w:val="00DE46DA"/>
    <w:rsid w:val="00DE4B9B"/>
    <w:rsid w:val="00DE5015"/>
    <w:rsid w:val="00DE5578"/>
    <w:rsid w:val="00DE5ECB"/>
    <w:rsid w:val="00DE6A88"/>
    <w:rsid w:val="00DE7038"/>
    <w:rsid w:val="00DE7263"/>
    <w:rsid w:val="00DE733B"/>
    <w:rsid w:val="00DE76AB"/>
    <w:rsid w:val="00DF2F52"/>
    <w:rsid w:val="00DF3405"/>
    <w:rsid w:val="00DF3827"/>
    <w:rsid w:val="00DF3E3C"/>
    <w:rsid w:val="00DF404C"/>
    <w:rsid w:val="00DF60F2"/>
    <w:rsid w:val="00DF6977"/>
    <w:rsid w:val="00E018C0"/>
    <w:rsid w:val="00E019A7"/>
    <w:rsid w:val="00E02A15"/>
    <w:rsid w:val="00E056A4"/>
    <w:rsid w:val="00E06382"/>
    <w:rsid w:val="00E07571"/>
    <w:rsid w:val="00E079C0"/>
    <w:rsid w:val="00E1027D"/>
    <w:rsid w:val="00E105D2"/>
    <w:rsid w:val="00E11C7F"/>
    <w:rsid w:val="00E11D04"/>
    <w:rsid w:val="00E13386"/>
    <w:rsid w:val="00E13CF8"/>
    <w:rsid w:val="00E145CD"/>
    <w:rsid w:val="00E14965"/>
    <w:rsid w:val="00E15A53"/>
    <w:rsid w:val="00E15CAD"/>
    <w:rsid w:val="00E162CA"/>
    <w:rsid w:val="00E173DF"/>
    <w:rsid w:val="00E17A5B"/>
    <w:rsid w:val="00E23819"/>
    <w:rsid w:val="00E246B4"/>
    <w:rsid w:val="00E26105"/>
    <w:rsid w:val="00E31203"/>
    <w:rsid w:val="00E31EA8"/>
    <w:rsid w:val="00E34298"/>
    <w:rsid w:val="00E3534A"/>
    <w:rsid w:val="00E3551B"/>
    <w:rsid w:val="00E3571A"/>
    <w:rsid w:val="00E360C2"/>
    <w:rsid w:val="00E3641C"/>
    <w:rsid w:val="00E366C6"/>
    <w:rsid w:val="00E3708A"/>
    <w:rsid w:val="00E379D5"/>
    <w:rsid w:val="00E37F9C"/>
    <w:rsid w:val="00E40255"/>
    <w:rsid w:val="00E454BB"/>
    <w:rsid w:val="00E45B56"/>
    <w:rsid w:val="00E45BED"/>
    <w:rsid w:val="00E46639"/>
    <w:rsid w:val="00E46B99"/>
    <w:rsid w:val="00E46BC1"/>
    <w:rsid w:val="00E52B07"/>
    <w:rsid w:val="00E536BF"/>
    <w:rsid w:val="00E53B76"/>
    <w:rsid w:val="00E54C14"/>
    <w:rsid w:val="00E54DAC"/>
    <w:rsid w:val="00E551A9"/>
    <w:rsid w:val="00E55DCD"/>
    <w:rsid w:val="00E5609D"/>
    <w:rsid w:val="00E562CD"/>
    <w:rsid w:val="00E56C90"/>
    <w:rsid w:val="00E57547"/>
    <w:rsid w:val="00E579AA"/>
    <w:rsid w:val="00E60509"/>
    <w:rsid w:val="00E614F4"/>
    <w:rsid w:val="00E6261D"/>
    <w:rsid w:val="00E64642"/>
    <w:rsid w:val="00E65038"/>
    <w:rsid w:val="00E65165"/>
    <w:rsid w:val="00E70704"/>
    <w:rsid w:val="00E713BA"/>
    <w:rsid w:val="00E7178B"/>
    <w:rsid w:val="00E725D1"/>
    <w:rsid w:val="00E72AD4"/>
    <w:rsid w:val="00E73770"/>
    <w:rsid w:val="00E73BBA"/>
    <w:rsid w:val="00E74FAA"/>
    <w:rsid w:val="00E7595B"/>
    <w:rsid w:val="00E76318"/>
    <w:rsid w:val="00E77903"/>
    <w:rsid w:val="00E839D1"/>
    <w:rsid w:val="00E84266"/>
    <w:rsid w:val="00E845F0"/>
    <w:rsid w:val="00E84824"/>
    <w:rsid w:val="00E84BC1"/>
    <w:rsid w:val="00E8556F"/>
    <w:rsid w:val="00E8604B"/>
    <w:rsid w:val="00E86392"/>
    <w:rsid w:val="00E90770"/>
    <w:rsid w:val="00E916D9"/>
    <w:rsid w:val="00E918C2"/>
    <w:rsid w:val="00E93046"/>
    <w:rsid w:val="00E934E1"/>
    <w:rsid w:val="00E93C5C"/>
    <w:rsid w:val="00E9417E"/>
    <w:rsid w:val="00E95129"/>
    <w:rsid w:val="00E96207"/>
    <w:rsid w:val="00E96D19"/>
    <w:rsid w:val="00E96ED1"/>
    <w:rsid w:val="00E96FEC"/>
    <w:rsid w:val="00E97000"/>
    <w:rsid w:val="00E97FAC"/>
    <w:rsid w:val="00EA0035"/>
    <w:rsid w:val="00EA01CA"/>
    <w:rsid w:val="00EA0692"/>
    <w:rsid w:val="00EA0DB7"/>
    <w:rsid w:val="00EA0F66"/>
    <w:rsid w:val="00EA1905"/>
    <w:rsid w:val="00EA2CDF"/>
    <w:rsid w:val="00EA30FF"/>
    <w:rsid w:val="00EA353B"/>
    <w:rsid w:val="00EA4230"/>
    <w:rsid w:val="00EB22C5"/>
    <w:rsid w:val="00EB5ED1"/>
    <w:rsid w:val="00EB6FA8"/>
    <w:rsid w:val="00EB733A"/>
    <w:rsid w:val="00EB73A8"/>
    <w:rsid w:val="00EC0EAA"/>
    <w:rsid w:val="00EC3E1B"/>
    <w:rsid w:val="00EC5449"/>
    <w:rsid w:val="00EC5869"/>
    <w:rsid w:val="00EC5EAD"/>
    <w:rsid w:val="00EC67CB"/>
    <w:rsid w:val="00EC74AE"/>
    <w:rsid w:val="00EC7BCA"/>
    <w:rsid w:val="00ED0B61"/>
    <w:rsid w:val="00ED3243"/>
    <w:rsid w:val="00ED3D67"/>
    <w:rsid w:val="00ED4429"/>
    <w:rsid w:val="00ED5760"/>
    <w:rsid w:val="00ED57C1"/>
    <w:rsid w:val="00ED619E"/>
    <w:rsid w:val="00ED6EC8"/>
    <w:rsid w:val="00ED7FB0"/>
    <w:rsid w:val="00EE117A"/>
    <w:rsid w:val="00EE124A"/>
    <w:rsid w:val="00EE1C27"/>
    <w:rsid w:val="00EE27E6"/>
    <w:rsid w:val="00EE2C44"/>
    <w:rsid w:val="00EE308D"/>
    <w:rsid w:val="00EE44D8"/>
    <w:rsid w:val="00EE453B"/>
    <w:rsid w:val="00EE6DE2"/>
    <w:rsid w:val="00EE74EF"/>
    <w:rsid w:val="00EE7848"/>
    <w:rsid w:val="00EF0EF9"/>
    <w:rsid w:val="00EF1EBA"/>
    <w:rsid w:val="00EF2619"/>
    <w:rsid w:val="00EF321C"/>
    <w:rsid w:val="00EF40F9"/>
    <w:rsid w:val="00EF4ECB"/>
    <w:rsid w:val="00EF5118"/>
    <w:rsid w:val="00F001BC"/>
    <w:rsid w:val="00F004B2"/>
    <w:rsid w:val="00F01248"/>
    <w:rsid w:val="00F0130C"/>
    <w:rsid w:val="00F013F2"/>
    <w:rsid w:val="00F0234C"/>
    <w:rsid w:val="00F02B1D"/>
    <w:rsid w:val="00F03885"/>
    <w:rsid w:val="00F03F3C"/>
    <w:rsid w:val="00F0730A"/>
    <w:rsid w:val="00F111F9"/>
    <w:rsid w:val="00F116A9"/>
    <w:rsid w:val="00F136A4"/>
    <w:rsid w:val="00F13B9A"/>
    <w:rsid w:val="00F14125"/>
    <w:rsid w:val="00F14331"/>
    <w:rsid w:val="00F1453D"/>
    <w:rsid w:val="00F14811"/>
    <w:rsid w:val="00F20773"/>
    <w:rsid w:val="00F2158B"/>
    <w:rsid w:val="00F21D44"/>
    <w:rsid w:val="00F221DF"/>
    <w:rsid w:val="00F24073"/>
    <w:rsid w:val="00F25658"/>
    <w:rsid w:val="00F260CF"/>
    <w:rsid w:val="00F27319"/>
    <w:rsid w:val="00F27529"/>
    <w:rsid w:val="00F31013"/>
    <w:rsid w:val="00F31A7F"/>
    <w:rsid w:val="00F31AF5"/>
    <w:rsid w:val="00F320E9"/>
    <w:rsid w:val="00F34082"/>
    <w:rsid w:val="00F344BE"/>
    <w:rsid w:val="00F34C1C"/>
    <w:rsid w:val="00F3524A"/>
    <w:rsid w:val="00F35AB4"/>
    <w:rsid w:val="00F360A5"/>
    <w:rsid w:val="00F367AC"/>
    <w:rsid w:val="00F36E51"/>
    <w:rsid w:val="00F371A0"/>
    <w:rsid w:val="00F376B4"/>
    <w:rsid w:val="00F37F32"/>
    <w:rsid w:val="00F40F6C"/>
    <w:rsid w:val="00F412A0"/>
    <w:rsid w:val="00F44726"/>
    <w:rsid w:val="00F4524E"/>
    <w:rsid w:val="00F4661B"/>
    <w:rsid w:val="00F47A71"/>
    <w:rsid w:val="00F50A8C"/>
    <w:rsid w:val="00F53229"/>
    <w:rsid w:val="00F5370E"/>
    <w:rsid w:val="00F53968"/>
    <w:rsid w:val="00F54B32"/>
    <w:rsid w:val="00F552DF"/>
    <w:rsid w:val="00F55652"/>
    <w:rsid w:val="00F56CC2"/>
    <w:rsid w:val="00F57D70"/>
    <w:rsid w:val="00F57F11"/>
    <w:rsid w:val="00F606C7"/>
    <w:rsid w:val="00F61CB3"/>
    <w:rsid w:val="00F6291F"/>
    <w:rsid w:val="00F63500"/>
    <w:rsid w:val="00F63938"/>
    <w:rsid w:val="00F67C0A"/>
    <w:rsid w:val="00F707FC"/>
    <w:rsid w:val="00F72D7C"/>
    <w:rsid w:val="00F737DD"/>
    <w:rsid w:val="00F7469B"/>
    <w:rsid w:val="00F7498D"/>
    <w:rsid w:val="00F74ECE"/>
    <w:rsid w:val="00F759DF"/>
    <w:rsid w:val="00F76339"/>
    <w:rsid w:val="00F765FF"/>
    <w:rsid w:val="00F769E6"/>
    <w:rsid w:val="00F80C3D"/>
    <w:rsid w:val="00F83540"/>
    <w:rsid w:val="00F836DD"/>
    <w:rsid w:val="00F83A82"/>
    <w:rsid w:val="00F84370"/>
    <w:rsid w:val="00F84BE9"/>
    <w:rsid w:val="00F8790F"/>
    <w:rsid w:val="00F87DD6"/>
    <w:rsid w:val="00F90110"/>
    <w:rsid w:val="00F9231F"/>
    <w:rsid w:val="00F9377D"/>
    <w:rsid w:val="00F9465C"/>
    <w:rsid w:val="00F964EB"/>
    <w:rsid w:val="00F972E9"/>
    <w:rsid w:val="00F97B05"/>
    <w:rsid w:val="00FA02B4"/>
    <w:rsid w:val="00FA1263"/>
    <w:rsid w:val="00FA2281"/>
    <w:rsid w:val="00FA372D"/>
    <w:rsid w:val="00FA3B2C"/>
    <w:rsid w:val="00FA5284"/>
    <w:rsid w:val="00FA619C"/>
    <w:rsid w:val="00FA6474"/>
    <w:rsid w:val="00FA7E60"/>
    <w:rsid w:val="00FB02D1"/>
    <w:rsid w:val="00FB110A"/>
    <w:rsid w:val="00FB14CF"/>
    <w:rsid w:val="00FB1FFF"/>
    <w:rsid w:val="00FB2B07"/>
    <w:rsid w:val="00FB2D80"/>
    <w:rsid w:val="00FB38A9"/>
    <w:rsid w:val="00FB4F7C"/>
    <w:rsid w:val="00FB57A9"/>
    <w:rsid w:val="00FB5D72"/>
    <w:rsid w:val="00FB60FC"/>
    <w:rsid w:val="00FB7EF7"/>
    <w:rsid w:val="00FC188D"/>
    <w:rsid w:val="00FC1BE6"/>
    <w:rsid w:val="00FC26DE"/>
    <w:rsid w:val="00FC3BD3"/>
    <w:rsid w:val="00FC4D8B"/>
    <w:rsid w:val="00FC518D"/>
    <w:rsid w:val="00FC5877"/>
    <w:rsid w:val="00FC5A91"/>
    <w:rsid w:val="00FC6D77"/>
    <w:rsid w:val="00FC713D"/>
    <w:rsid w:val="00FD09D5"/>
    <w:rsid w:val="00FD0AEF"/>
    <w:rsid w:val="00FD1E55"/>
    <w:rsid w:val="00FD2297"/>
    <w:rsid w:val="00FD2FED"/>
    <w:rsid w:val="00FD3DF4"/>
    <w:rsid w:val="00FD3E5A"/>
    <w:rsid w:val="00FD4A0C"/>
    <w:rsid w:val="00FD5F71"/>
    <w:rsid w:val="00FD6287"/>
    <w:rsid w:val="00FD6A94"/>
    <w:rsid w:val="00FD7A1E"/>
    <w:rsid w:val="00FE1C7E"/>
    <w:rsid w:val="00FE3164"/>
    <w:rsid w:val="00FE597F"/>
    <w:rsid w:val="00FF023B"/>
    <w:rsid w:val="00FF11B4"/>
    <w:rsid w:val="00FF455F"/>
    <w:rsid w:val="00FF5036"/>
    <w:rsid w:val="00FF692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705AB8-0908-493B-82CA-DB8AA1ABE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3A3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39"/>
    <w:rsid w:val="00AB3A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AB3A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5270</Words>
  <Characters>30042</Characters>
  <Application>Microsoft Office Word</Application>
  <DocSecurity>0</DocSecurity>
  <Lines>250</Lines>
  <Paragraphs>70</Paragraphs>
  <ScaleCrop>false</ScaleCrop>
  <Company>Hewlett-Packard Company</Company>
  <LinksUpToDate>false</LinksUpToDate>
  <CharactersWithSpaces>35242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 Lin</dc:creator>
  <cp:keywords/>
  <dc:description/>
  <cp:lastModifiedBy>Ivan Lin</cp:lastModifiedBy>
  <cp:revision>2</cp:revision>
  <dcterms:created xsi:type="dcterms:W3CDTF">2018-12-04T01:18:00Z</dcterms:created>
  <dcterms:modified xsi:type="dcterms:W3CDTF">2018-12-04T01:19:00Z</dcterms:modified>
</cp:coreProperties>
</file>